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0FCB69B"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E060AC">
        <w:rPr>
          <w:rFonts w:cs="Arial"/>
          <w:b/>
          <w:sz w:val="24"/>
          <w:szCs w:val="24"/>
        </w:rPr>
        <w:t>8839</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F4163E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523E3" w:rsidRPr="00C523E3">
        <w:rPr>
          <w:rFonts w:cs="Arial"/>
          <w:sz w:val="22"/>
        </w:rPr>
        <w:t xml:space="preserve">Initial </w:t>
      </w:r>
      <w:r w:rsidR="00EF43B1">
        <w:rPr>
          <w:rFonts w:cs="Arial"/>
          <w:sz w:val="22"/>
        </w:rPr>
        <w:t>M</w:t>
      </w:r>
      <w:r w:rsidR="00C523E3" w:rsidRPr="00C523E3">
        <w:rPr>
          <w:rFonts w:cs="Arial"/>
          <w:sz w:val="22"/>
        </w:rPr>
        <w:t xml:space="preserve">easurement </w:t>
      </w:r>
      <w:r w:rsidR="00EF43B1">
        <w:rPr>
          <w:rFonts w:cs="Arial"/>
          <w:sz w:val="22"/>
        </w:rPr>
        <w:t>R</w:t>
      </w:r>
      <w:r w:rsidR="00C523E3" w:rsidRPr="00C523E3">
        <w:rPr>
          <w:rFonts w:cs="Arial"/>
          <w:sz w:val="22"/>
        </w:rPr>
        <w:t xml:space="preserve">esults for </w:t>
      </w:r>
      <w:r w:rsidR="00EF43B1">
        <w:rPr>
          <w:rFonts w:cs="Arial"/>
          <w:sz w:val="22"/>
        </w:rPr>
        <w:t>I</w:t>
      </w:r>
      <w:r w:rsidR="00C523E3" w:rsidRPr="00C523E3">
        <w:rPr>
          <w:rFonts w:cs="Arial"/>
          <w:sz w:val="22"/>
        </w:rPr>
        <w:t xml:space="preserve">ntra-band </w:t>
      </w:r>
      <w:r w:rsidR="00EF43B1">
        <w:rPr>
          <w:rFonts w:cs="Arial"/>
          <w:sz w:val="22"/>
        </w:rPr>
        <w:t>C</w:t>
      </w:r>
      <w:r w:rsidR="00C523E3" w:rsidRPr="00C523E3">
        <w:rPr>
          <w:rFonts w:cs="Arial"/>
          <w:sz w:val="22"/>
        </w:rPr>
        <w:t>ontiguous NR UL CA for FR1</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52573648"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C6372" w:rsidRPr="00FC6372">
        <w:rPr>
          <w:rFonts w:ascii="Arial" w:hAnsi="Arial" w:cs="Arial"/>
          <w:sz w:val="22"/>
        </w:rPr>
        <w:t>9.12</w:t>
      </w:r>
      <w:r w:rsidR="00E060AC">
        <w:rPr>
          <w:rFonts w:ascii="Arial" w:hAnsi="Arial" w:cs="Arial"/>
          <w:sz w:val="22"/>
        </w:rPr>
        <w:t>.4</w:t>
      </w:r>
      <w:r w:rsidR="00FC6372" w:rsidRPr="00FC6372">
        <w:rPr>
          <w:rFonts w:ascii="Arial" w:hAnsi="Arial" w:cs="Arial"/>
          <w:sz w:val="22"/>
        </w:rPr>
        <w:t xml:space="preserve"> </w:t>
      </w:r>
      <w:r w:rsidR="00E060AC" w:rsidRPr="00E060AC">
        <w:rPr>
          <w:rFonts w:ascii="Arial" w:hAnsi="Arial" w:cs="Arial"/>
          <w:sz w:val="22"/>
        </w:rPr>
        <w:t>Intra-band contiguous UL CA for FR1 power class 3</w:t>
      </w:r>
      <w:r w:rsidR="00DD16EF">
        <w:rPr>
          <w:rFonts w:ascii="Arial" w:hAnsi="Arial" w:cs="Arial"/>
          <w:sz w:val="22"/>
        </w:rPr>
        <w:t xml:space="preserve"> </w:t>
      </w:r>
      <w:r w:rsidR="00FC6372" w:rsidRPr="00FC6372">
        <w:rPr>
          <w:rFonts w:ascii="Arial" w:hAnsi="Arial" w:cs="Arial"/>
          <w:sz w:val="22"/>
        </w:rPr>
        <w:t>[NR_RF_FR1]</w:t>
      </w:r>
    </w:p>
    <w:p w14:paraId="2E5C6AEA" w14:textId="3F857E4B"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797B">
        <w:rPr>
          <w:rFonts w:ascii="Arial" w:eastAsia="SimSun" w:hAnsi="Arial" w:cs="Arial"/>
          <w:sz w:val="22"/>
          <w:lang w:eastAsia="zh-CN"/>
        </w:rPr>
        <w:t>Approval</w:t>
      </w:r>
      <w:bookmarkStart w:id="2" w:name="_GoBack"/>
      <w:bookmarkEnd w:id="2"/>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1E93ACA"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6202F7">
        <w:rPr>
          <w:rFonts w:eastAsia="SimSun"/>
          <w:lang w:eastAsia="zh-CN"/>
        </w:rPr>
        <w:t>Release 16</w:t>
      </w:r>
      <w:r w:rsidR="00EF43B1">
        <w:rPr>
          <w:rFonts w:eastAsia="SimSun"/>
          <w:lang w:eastAsia="zh-CN"/>
        </w:rPr>
        <w:t>,</w:t>
      </w:r>
      <w:r w:rsidR="006202F7">
        <w:rPr>
          <w:rFonts w:eastAsia="SimSun"/>
          <w:lang w:eastAsia="zh-CN"/>
        </w:rPr>
        <w:t xml:space="preserve"> one of the key UE RF step compared to </w:t>
      </w:r>
      <w:r w:rsidR="00EF43B1">
        <w:rPr>
          <w:rFonts w:eastAsia="SimSun"/>
          <w:lang w:eastAsia="zh-CN"/>
        </w:rPr>
        <w:t>R</w:t>
      </w:r>
      <w:r w:rsidR="006202F7">
        <w:rPr>
          <w:rFonts w:eastAsia="SimSun"/>
          <w:lang w:eastAsia="zh-CN"/>
        </w:rPr>
        <w:t>elease 15 is the addition of intra-band UL CA for NR with both contiguous and non-contiguous cases</w:t>
      </w:r>
      <w:r w:rsidR="000578F2">
        <w:rPr>
          <w:rFonts w:eastAsia="SimSun"/>
          <w:lang w:eastAsia="zh-CN"/>
        </w:rPr>
        <w:t>.</w:t>
      </w:r>
      <w:r w:rsidR="006202F7">
        <w:rPr>
          <w:rFonts w:eastAsia="SimSun"/>
          <w:lang w:eastAsia="zh-CN"/>
        </w:rPr>
        <w:t xml:space="preserve"> This contribution </w:t>
      </w:r>
      <w:r w:rsidR="00C523E3">
        <w:rPr>
          <w:rFonts w:eastAsia="SimSun"/>
          <w:lang w:eastAsia="zh-CN"/>
        </w:rPr>
        <w:t>provides a first set of measurement results for contiguous intra-band NR UL CA to assess the required back-off PA back-off based on ACLR and IMD3 and 5 levels for SEM. Some of the data can be further analyzed to provide first guess on non-contiguous case by applying different criteria on IM3 and 5.</w:t>
      </w:r>
      <w:r w:rsidR="006202F7">
        <w:rPr>
          <w:rFonts w:eastAsia="SimSun"/>
          <w:lang w:eastAsia="zh-CN"/>
        </w:rPr>
        <w:t xml:space="preserve"> </w:t>
      </w:r>
      <w:r w:rsidR="00C523E3">
        <w:rPr>
          <w:rFonts w:eastAsia="SimSun"/>
          <w:lang w:eastAsia="zh-CN"/>
        </w:rPr>
        <w:t>The evaluated back off is based on the assumptions and requirements proposed in [1] and looks into the behavior of inner and outer allocations as defined in</w:t>
      </w:r>
      <w:r w:rsidR="006202F7">
        <w:rPr>
          <w:rFonts w:eastAsia="SimSun"/>
          <w:lang w:eastAsia="zh-CN"/>
        </w:rPr>
        <w:t xml:space="preserve"> [</w:t>
      </w:r>
      <w:r w:rsidR="00C523E3">
        <w:rPr>
          <w:rFonts w:eastAsia="SimSun"/>
          <w:lang w:eastAsia="zh-CN"/>
        </w:rPr>
        <w:t>2</w:t>
      </w:r>
      <w:r w:rsidR="006202F7">
        <w:rPr>
          <w:rFonts w:eastAsia="SimSun"/>
          <w:lang w:eastAsia="zh-CN"/>
        </w:rPr>
        <w:t>]</w:t>
      </w:r>
      <w:r w:rsidR="00A83CDD">
        <w:rPr>
          <w:rFonts w:eastAsia="SimSun"/>
          <w:lang w:eastAsia="zh-CN"/>
        </w:rPr>
        <w:t>.</w:t>
      </w:r>
      <w:r w:rsidR="00EF43B1">
        <w:rPr>
          <w:rFonts w:eastAsia="SimSun"/>
          <w:lang w:eastAsia="zh-CN"/>
        </w:rPr>
        <w:t xml:space="preserve"> This first step focu</w:t>
      </w:r>
      <w:r w:rsidR="00B90258">
        <w:rPr>
          <w:rFonts w:eastAsia="SimSun"/>
          <w:lang w:eastAsia="zh-CN"/>
        </w:rPr>
        <w:t>ses on PC3.</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69F157AD" w14:textId="533EF6DA" w:rsidR="006202F7" w:rsidRDefault="006202F7" w:rsidP="006202F7">
      <w:pPr>
        <w:pStyle w:val="Heading2"/>
        <w:spacing w:after="240"/>
        <w:rPr>
          <w:sz w:val="36"/>
          <w:lang w:val="en-US"/>
        </w:rPr>
      </w:pPr>
      <w:r>
        <w:rPr>
          <w:sz w:val="36"/>
          <w:lang w:val="en-US"/>
        </w:rPr>
        <w:t>Assumptions</w:t>
      </w:r>
      <w:r w:rsidR="00B90258">
        <w:rPr>
          <w:sz w:val="36"/>
          <w:lang w:val="en-US"/>
        </w:rPr>
        <w:t xml:space="preserve"> for Back-off Evaluation</w:t>
      </w:r>
    </w:p>
    <w:p w14:paraId="7052336E" w14:textId="7A981480" w:rsidR="00B90258" w:rsidRDefault="00B90258" w:rsidP="00B90258">
      <w:pPr>
        <w:tabs>
          <w:tab w:val="left" w:pos="5103"/>
        </w:tabs>
        <w:spacing w:after="0"/>
        <w:jc w:val="both"/>
      </w:pPr>
      <w:r>
        <w:t>As usual</w:t>
      </w:r>
      <w:r w:rsidR="00EF43B1">
        <w:t xml:space="preserve"> for 3GPP studies,</w:t>
      </w:r>
      <w:r>
        <w:t xml:space="preserve"> the PA is calibrated for 1</w:t>
      </w:r>
      <w:r w:rsidR="00EF43B1">
        <w:t xml:space="preserve"> </w:t>
      </w:r>
      <w:r>
        <w:t>dB MPR for 100RB0 20</w:t>
      </w:r>
      <w:r w:rsidR="00EF43B1">
        <w:t xml:space="preserve"> </w:t>
      </w:r>
      <w:r>
        <w:t>MHz DFT-s-OFDM QPSK and 30dBc ACLR. The other assumptions are according to [1]:</w:t>
      </w:r>
    </w:p>
    <w:p w14:paraId="6808FF65" w14:textId="3E207869" w:rsidR="004063AE" w:rsidRDefault="004063AE" w:rsidP="004063AE">
      <w:pPr>
        <w:pStyle w:val="ListParagraph"/>
        <w:numPr>
          <w:ilvl w:val="0"/>
          <w:numId w:val="18"/>
        </w:numPr>
        <w:tabs>
          <w:tab w:val="left" w:pos="5103"/>
        </w:tabs>
        <w:spacing w:after="0"/>
        <w:jc w:val="both"/>
      </w:pPr>
      <w:r>
        <w:t>Transceiver impairments of 28dBc image and carrier leakage are added</w:t>
      </w:r>
    </w:p>
    <w:p w14:paraId="6B607BF5" w14:textId="0612EFB7" w:rsidR="00B90258" w:rsidRPr="00B90258" w:rsidRDefault="00B90258" w:rsidP="00B90258">
      <w:pPr>
        <w:pStyle w:val="ListParagraph"/>
        <w:numPr>
          <w:ilvl w:val="0"/>
          <w:numId w:val="18"/>
        </w:numPr>
        <w:tabs>
          <w:tab w:val="left" w:pos="5103"/>
        </w:tabs>
        <w:spacing w:after="0"/>
        <w:jc w:val="both"/>
      </w:pPr>
      <w:r w:rsidRPr="00B90258">
        <w:t>Single transmit path, equal PSD and equal back-off is used</w:t>
      </w:r>
    </w:p>
    <w:p w14:paraId="6F804D41" w14:textId="77777777" w:rsidR="00B90258" w:rsidRPr="00B90258" w:rsidRDefault="00B90258" w:rsidP="00B90258">
      <w:pPr>
        <w:pStyle w:val="ListParagraph"/>
        <w:numPr>
          <w:ilvl w:val="0"/>
          <w:numId w:val="18"/>
        </w:numPr>
        <w:tabs>
          <w:tab w:val="left" w:pos="5103"/>
        </w:tabs>
        <w:spacing w:after="0"/>
        <w:jc w:val="both"/>
      </w:pPr>
      <w:r w:rsidRPr="00B90258">
        <w:t>CCs: same SCS and channel BW between 20 and 100 MHz</w:t>
      </w:r>
    </w:p>
    <w:p w14:paraId="4654422F" w14:textId="77777777" w:rsidR="00B90258" w:rsidRPr="00B90258" w:rsidRDefault="00B90258" w:rsidP="00B90258">
      <w:pPr>
        <w:pStyle w:val="ListParagraph"/>
        <w:numPr>
          <w:ilvl w:val="0"/>
          <w:numId w:val="11"/>
        </w:numPr>
      </w:pPr>
      <w:r w:rsidRPr="00B90258">
        <w:rPr>
          <w:lang w:val="en-CA"/>
        </w:rPr>
        <w:t>SEM and ACLR requirements are based on the aggregated bandwidth with ACLR measurement bandwidths as follows:</w:t>
      </w:r>
    </w:p>
    <w:p w14:paraId="297BCD15" w14:textId="77777777" w:rsidR="00B90258" w:rsidRPr="00B90258" w:rsidRDefault="00B90258" w:rsidP="00B90258">
      <w:pPr>
        <w:pStyle w:val="ListParagraph"/>
        <w:numPr>
          <w:ilvl w:val="1"/>
          <w:numId w:val="11"/>
        </w:numPr>
        <w:ind w:left="720"/>
      </w:pPr>
      <w:r w:rsidRPr="00B90258">
        <w:rPr>
          <w:lang w:val="en-CA"/>
        </w:rPr>
        <w:t>100% aggregated bandwidth for wanted and 99% aggregated bandwidth for adjacent in FR1</w:t>
      </w:r>
    </w:p>
    <w:p w14:paraId="0D776776" w14:textId="77777777" w:rsidR="00B90258" w:rsidRPr="00B90258" w:rsidRDefault="00B90258" w:rsidP="00B90258">
      <w:pPr>
        <w:pStyle w:val="ListParagraph"/>
        <w:numPr>
          <w:ilvl w:val="1"/>
          <w:numId w:val="11"/>
        </w:numPr>
        <w:ind w:left="720"/>
      </w:pPr>
      <w:r w:rsidRPr="00B90258">
        <w:rPr>
          <w:lang w:val="en-CA"/>
        </w:rPr>
        <w:t>98% aggregated bandwidth for wanted and adjacent in FR2</w:t>
      </w:r>
    </w:p>
    <w:p w14:paraId="38C8E2A0" w14:textId="5AB6F7E7" w:rsidR="00B90258" w:rsidRPr="00B90258" w:rsidRDefault="00B90258" w:rsidP="00B90258">
      <w:pPr>
        <w:pStyle w:val="ListParagraph"/>
        <w:numPr>
          <w:ilvl w:val="0"/>
          <w:numId w:val="11"/>
        </w:numPr>
      </w:pPr>
      <w:r w:rsidRPr="00B90258">
        <w:rPr>
          <w:lang w:val="en-CA"/>
        </w:rPr>
        <w:t>In band emissions are ignored in this first set of measurements for inner allocation until further agreement is achieved.</w:t>
      </w:r>
    </w:p>
    <w:p w14:paraId="0DAAD5EA" w14:textId="2150E8E8" w:rsidR="00B90258" w:rsidRPr="00B90258" w:rsidRDefault="00B90258" w:rsidP="00B90258">
      <w:pPr>
        <w:pStyle w:val="ListParagraph"/>
        <w:numPr>
          <w:ilvl w:val="0"/>
          <w:numId w:val="11"/>
        </w:numPr>
      </w:pPr>
      <w:r w:rsidRPr="00B90258">
        <w:rPr>
          <w:lang w:val="en-CA"/>
        </w:rPr>
        <w:t>Back-off is evaluated for inner and outer definitions of chapter 2.1.2 of [2]</w:t>
      </w:r>
    </w:p>
    <w:p w14:paraId="533CCD82" w14:textId="350D5DE9" w:rsidR="004B2056" w:rsidRDefault="00B90258" w:rsidP="00B90258">
      <w:pPr>
        <w:tabs>
          <w:tab w:val="left" w:pos="5103"/>
        </w:tabs>
        <w:spacing w:after="0"/>
        <w:jc w:val="both"/>
      </w:pPr>
      <w:r>
        <w:t xml:space="preserve">Measurements are done in </w:t>
      </w:r>
      <w:r w:rsidR="00EF43B1">
        <w:t>B</w:t>
      </w:r>
      <w:r>
        <w:t xml:space="preserve">and </w:t>
      </w:r>
      <w:r w:rsidR="004B2056">
        <w:t>n</w:t>
      </w:r>
      <w:r>
        <w:t>41 as it is today the largest spectrum available to a single operator with 190</w:t>
      </w:r>
      <w:r w:rsidR="00EF43B1">
        <w:t xml:space="preserve"> </w:t>
      </w:r>
      <w:r>
        <w:t>MHz in the U</w:t>
      </w:r>
      <w:r w:rsidR="00EF43B1">
        <w:t>.</w:t>
      </w:r>
      <w:r>
        <w:t>S</w:t>
      </w:r>
      <w:r w:rsidR="00EF43B1">
        <w:t>.</w:t>
      </w:r>
      <w:r>
        <w:t xml:space="preserve"> and 160</w:t>
      </w:r>
      <w:r w:rsidR="00EF43B1">
        <w:t xml:space="preserve"> </w:t>
      </w:r>
      <w:r>
        <w:t xml:space="preserve">MHz in China. It shall be considered though that </w:t>
      </w:r>
      <w:r w:rsidR="00A34AE5">
        <w:t>aggregated bandw</w:t>
      </w:r>
      <w:r w:rsidR="00EF43B1">
        <w:t xml:space="preserve">idths above 100MHz will exceed the </w:t>
      </w:r>
      <w:r w:rsidR="00A34AE5">
        <w:t>4% maximum UL bandwidth criteria</w:t>
      </w:r>
      <w:r w:rsidR="004B2056">
        <w:t>.</w:t>
      </w:r>
    </w:p>
    <w:p w14:paraId="74C4255C" w14:textId="77777777" w:rsidR="004B2056" w:rsidRDefault="004B2056" w:rsidP="00B90258">
      <w:pPr>
        <w:tabs>
          <w:tab w:val="left" w:pos="5103"/>
        </w:tabs>
        <w:spacing w:after="0"/>
        <w:jc w:val="both"/>
      </w:pPr>
    </w:p>
    <w:p w14:paraId="05C8A0B9" w14:textId="7A3A2568" w:rsidR="004B2056" w:rsidRDefault="004B2056" w:rsidP="00B90258">
      <w:pPr>
        <w:tabs>
          <w:tab w:val="left" w:pos="5103"/>
        </w:tabs>
        <w:spacing w:after="0"/>
        <w:jc w:val="both"/>
      </w:pPr>
      <w:r>
        <w:t xml:space="preserve">Even if </w:t>
      </w:r>
      <w:r w:rsidR="005C476D">
        <w:t xml:space="preserve">Band </w:t>
      </w:r>
      <w:r>
        <w:t>n41 is used as a first step</w:t>
      </w:r>
      <w:r w:rsidR="00EF43B1">
        <w:t>,</w:t>
      </w:r>
      <w:r>
        <w:t xml:space="preserve"> </w:t>
      </w:r>
      <w:proofErr w:type="gramStart"/>
      <w:r>
        <w:t>NS01 criteria is</w:t>
      </w:r>
      <w:proofErr w:type="gramEnd"/>
      <w:r>
        <w:t xml:space="preserve"> used (no OOB requirement and spurious emission level at -30dBm)</w:t>
      </w:r>
      <w:r w:rsidR="004063AE">
        <w:t xml:space="preserve"> instead of NS04. But the data can be further analyzed for NS04.</w:t>
      </w:r>
    </w:p>
    <w:p w14:paraId="5BADCEFA" w14:textId="2C67C881" w:rsidR="00A34AE5" w:rsidRDefault="00A34AE5" w:rsidP="00A34AE5">
      <w:pPr>
        <w:pStyle w:val="Heading2"/>
        <w:spacing w:after="240"/>
        <w:rPr>
          <w:sz w:val="36"/>
          <w:lang w:val="en-US"/>
        </w:rPr>
      </w:pPr>
      <w:r>
        <w:rPr>
          <w:sz w:val="36"/>
          <w:lang w:val="en-US"/>
        </w:rPr>
        <w:t>Measurement Plan</w:t>
      </w:r>
    </w:p>
    <w:p w14:paraId="1BC8CF7C" w14:textId="77777777" w:rsidR="00A34AE5" w:rsidRDefault="00A34AE5" w:rsidP="00A34AE5">
      <w:pPr>
        <w:tabs>
          <w:tab w:val="left" w:pos="5103"/>
        </w:tabs>
        <w:spacing w:after="0"/>
        <w:jc w:val="both"/>
      </w:pPr>
      <w:r>
        <w:t>The complete measurement plan was as follow:</w:t>
      </w:r>
    </w:p>
    <w:p w14:paraId="38A4A1EC" w14:textId="3C3929F0" w:rsidR="00A34AE5" w:rsidRDefault="00A34AE5" w:rsidP="00A34AE5">
      <w:pPr>
        <w:pStyle w:val="ListParagraph"/>
        <w:numPr>
          <w:ilvl w:val="0"/>
          <w:numId w:val="21"/>
        </w:numPr>
        <w:tabs>
          <w:tab w:val="left" w:pos="5103"/>
        </w:tabs>
        <w:spacing w:after="0"/>
        <w:jc w:val="both"/>
      </w:pPr>
      <w:r>
        <w:t>Channel combinations measured: 20+20</w:t>
      </w:r>
      <w:r w:rsidR="00D65EB1">
        <w:t xml:space="preserve"> </w:t>
      </w:r>
      <w:r>
        <w:t>MHz, 50+50</w:t>
      </w:r>
      <w:r w:rsidR="00D65EB1">
        <w:t xml:space="preserve"> </w:t>
      </w:r>
      <w:r>
        <w:t>MHz, 100+100</w:t>
      </w:r>
      <w:r w:rsidR="00D65EB1">
        <w:t xml:space="preserve"> </w:t>
      </w:r>
      <w:r>
        <w:t xml:space="preserve">MHz, </w:t>
      </w:r>
      <w:r w:rsidR="00E971C8">
        <w:t>6</w:t>
      </w:r>
      <w:r>
        <w:t>0+</w:t>
      </w:r>
      <w:r w:rsidR="00E971C8">
        <w:t>10</w:t>
      </w:r>
      <w:r>
        <w:t>0</w:t>
      </w:r>
      <w:r w:rsidR="00D65EB1">
        <w:t xml:space="preserve"> </w:t>
      </w:r>
      <w:r>
        <w:t>MHz</w:t>
      </w:r>
    </w:p>
    <w:p w14:paraId="24CC2EE9" w14:textId="759CD5BC" w:rsidR="00A34AE5" w:rsidRDefault="00A34AE5" w:rsidP="00A34AE5">
      <w:pPr>
        <w:pStyle w:val="ListParagraph"/>
        <w:numPr>
          <w:ilvl w:val="0"/>
          <w:numId w:val="20"/>
        </w:numPr>
        <w:tabs>
          <w:tab w:val="left" w:pos="5103"/>
        </w:tabs>
        <w:spacing w:after="0"/>
        <w:jc w:val="both"/>
      </w:pPr>
      <w:r>
        <w:t>DFT-s-OFDM and CP-OFDM QPSK waveforms</w:t>
      </w:r>
    </w:p>
    <w:p w14:paraId="43ECFC6E" w14:textId="4ACE408E" w:rsidR="00A34AE5" w:rsidRDefault="00A34AE5" w:rsidP="00A34AE5">
      <w:pPr>
        <w:pStyle w:val="ListParagraph"/>
        <w:numPr>
          <w:ilvl w:val="0"/>
          <w:numId w:val="20"/>
        </w:numPr>
        <w:tabs>
          <w:tab w:val="left" w:pos="5103"/>
        </w:tabs>
        <w:spacing w:after="0"/>
        <w:jc w:val="both"/>
      </w:pPr>
      <w:r>
        <w:t>Total Power sweep from 13 to 23</w:t>
      </w:r>
      <w:r w:rsidR="00D65EB1">
        <w:t xml:space="preserve"> </w:t>
      </w:r>
      <w:proofErr w:type="spellStart"/>
      <w:r>
        <w:t>dBm</w:t>
      </w:r>
      <w:proofErr w:type="spellEnd"/>
      <w:r>
        <w:t xml:space="preserve"> in 0.5</w:t>
      </w:r>
      <w:r w:rsidR="00D65EB1">
        <w:t xml:space="preserve"> </w:t>
      </w:r>
      <w:r>
        <w:t>dB steps and equal PSD between CCs</w:t>
      </w:r>
    </w:p>
    <w:p w14:paraId="4029D8ED" w14:textId="658F682B" w:rsidR="00A34AE5" w:rsidRPr="00A34AE5" w:rsidRDefault="00A34AE5" w:rsidP="00A34AE5">
      <w:pPr>
        <w:pStyle w:val="ListParagraph"/>
        <w:numPr>
          <w:ilvl w:val="0"/>
          <w:numId w:val="20"/>
        </w:numPr>
        <w:tabs>
          <w:tab w:val="left" w:pos="5103"/>
        </w:tabs>
        <w:spacing w:after="0"/>
        <w:jc w:val="both"/>
      </w:pPr>
      <w:r>
        <w:t>Were measured: each CC power, total power, ACLR, SEM, lower and upper IMD3</w:t>
      </w:r>
      <w:r>
        <w:rPr>
          <w:lang w:val="en-CA"/>
        </w:rPr>
        <w:t>/5/7</w:t>
      </w:r>
      <w:r w:rsidR="004B2056">
        <w:rPr>
          <w:lang w:val="en-CA"/>
        </w:rPr>
        <w:t xml:space="preserve"> against SEM and spurious emission levels (-30</w:t>
      </w:r>
      <w:r w:rsidR="00D65EB1">
        <w:rPr>
          <w:lang w:val="en-CA"/>
        </w:rPr>
        <w:t xml:space="preserve"> </w:t>
      </w:r>
      <w:proofErr w:type="spellStart"/>
      <w:r w:rsidR="004B2056">
        <w:rPr>
          <w:lang w:val="en-CA"/>
        </w:rPr>
        <w:t>dBm</w:t>
      </w:r>
      <w:proofErr w:type="spellEnd"/>
      <w:r w:rsidR="004B2056">
        <w:rPr>
          <w:lang w:val="en-CA"/>
        </w:rPr>
        <w:t>/MHz)</w:t>
      </w:r>
    </w:p>
    <w:p w14:paraId="63F2D84B" w14:textId="665FC48A" w:rsidR="00A34AE5" w:rsidRPr="004B2056" w:rsidRDefault="004B2056" w:rsidP="00A34AE5">
      <w:pPr>
        <w:pStyle w:val="ListParagraph"/>
        <w:numPr>
          <w:ilvl w:val="0"/>
          <w:numId w:val="20"/>
        </w:numPr>
        <w:tabs>
          <w:tab w:val="left" w:pos="5103"/>
        </w:tabs>
        <w:spacing w:after="0"/>
        <w:jc w:val="both"/>
      </w:pPr>
      <w:r>
        <w:rPr>
          <w:lang w:val="en-CA"/>
        </w:rPr>
        <w:lastRenderedPageBreak/>
        <w:t>In terms of allocations, a careful selection of inner and outer allocation across variable RB length is done to use best and worst cases that just at both sides of the limit of the inner/outer criteria with symmetric and asymmetric CC1 and CC2 allocations</w:t>
      </w:r>
      <w:r w:rsidR="006A4189">
        <w:rPr>
          <w:lang w:val="en-CA"/>
        </w:rPr>
        <w:t>, as much as possible the same allocations are used for DFT-s-OFDM and CP-OFDM but in some cases there is a slight difference due to the 2^x*3^y*5^z limitation</w:t>
      </w:r>
      <w:r>
        <w:rPr>
          <w:lang w:val="en-CA"/>
        </w:rPr>
        <w:t>. Following descriptions are used</w:t>
      </w:r>
      <w:r w:rsidR="006A4189">
        <w:rPr>
          <w:lang w:val="en-CA"/>
        </w:rPr>
        <w:t xml:space="preserve"> here assuming CC1 and CC2 have same bandwidth:</w:t>
      </w:r>
    </w:p>
    <w:p w14:paraId="7D761CF5" w14:textId="4C9415C9" w:rsidR="004B2056" w:rsidRDefault="004B2056" w:rsidP="004B2056">
      <w:pPr>
        <w:pStyle w:val="ListParagraph"/>
        <w:numPr>
          <w:ilvl w:val="1"/>
          <w:numId w:val="20"/>
        </w:numPr>
        <w:tabs>
          <w:tab w:val="left" w:pos="5103"/>
        </w:tabs>
        <w:spacing w:after="0"/>
        <w:jc w:val="both"/>
      </w:pPr>
      <w:r>
        <w:t>Inner best</w:t>
      </w:r>
      <w:r w:rsidR="006A4189">
        <w:t>:</w:t>
      </w:r>
      <w:r>
        <w:t xml:space="preserve"> </w:t>
      </w:r>
      <w:proofErr w:type="spellStart"/>
      <w:r w:rsidR="00CE163F">
        <w:t>x</w:t>
      </w:r>
      <w:r>
        <w:t>RB+</w:t>
      </w:r>
      <w:r w:rsidR="00CE163F">
        <w:t>x</w:t>
      </w:r>
      <w:r>
        <w:t>RB</w:t>
      </w:r>
      <w:proofErr w:type="spellEnd"/>
      <w:r>
        <w:t xml:space="preserve"> as close as possible</w:t>
      </w:r>
    </w:p>
    <w:p w14:paraId="4FC1ADE4" w14:textId="18F3AFF6" w:rsidR="006A4189" w:rsidRDefault="006A4189" w:rsidP="004B2056">
      <w:pPr>
        <w:pStyle w:val="ListParagraph"/>
        <w:numPr>
          <w:ilvl w:val="1"/>
          <w:numId w:val="20"/>
        </w:numPr>
        <w:tabs>
          <w:tab w:val="left" w:pos="5103"/>
        </w:tabs>
        <w:spacing w:after="0"/>
        <w:jc w:val="both"/>
      </w:pPr>
      <w:r>
        <w:t xml:space="preserve">Outer worst: </w:t>
      </w:r>
      <w:proofErr w:type="spellStart"/>
      <w:r w:rsidR="00CE163F">
        <w:t>x</w:t>
      </w:r>
      <w:r>
        <w:t>RB+</w:t>
      </w:r>
      <w:r w:rsidR="00CE163F">
        <w:t>x</w:t>
      </w:r>
      <w:r>
        <w:t>RB</w:t>
      </w:r>
      <w:proofErr w:type="spellEnd"/>
      <w:r>
        <w:t xml:space="preserve"> as far as possible</w:t>
      </w:r>
    </w:p>
    <w:p w14:paraId="5438E589" w14:textId="5D18F8DE" w:rsidR="006A4189" w:rsidRDefault="006A4189" w:rsidP="004B2056">
      <w:pPr>
        <w:pStyle w:val="ListParagraph"/>
        <w:numPr>
          <w:ilvl w:val="1"/>
          <w:numId w:val="20"/>
        </w:numPr>
        <w:tabs>
          <w:tab w:val="left" w:pos="5103"/>
        </w:tabs>
        <w:spacing w:after="0"/>
        <w:jc w:val="both"/>
      </w:pPr>
      <w:r>
        <w:t>Inner symmetric: based on the inner definition if on CC allocation gets closer to the center of the two CCs the other one can be further away. In this case the two allocation are at the same distance to the center of the 2CCs</w:t>
      </w:r>
    </w:p>
    <w:p w14:paraId="4425274E" w14:textId="74DB1C53" w:rsidR="006A4189" w:rsidRDefault="006A4189" w:rsidP="004B2056">
      <w:pPr>
        <w:pStyle w:val="ListParagraph"/>
        <w:numPr>
          <w:ilvl w:val="1"/>
          <w:numId w:val="20"/>
        </w:numPr>
        <w:tabs>
          <w:tab w:val="left" w:pos="5103"/>
        </w:tabs>
        <w:spacing w:after="0"/>
        <w:jc w:val="both"/>
      </w:pPr>
      <w:r>
        <w:t>Inner CCRB0: lowest possible inner allocation in CC1 with lowest possible allocation in CC2</w:t>
      </w:r>
    </w:p>
    <w:p w14:paraId="14DA8548" w14:textId="5B622BD9" w:rsidR="006A4189" w:rsidRDefault="006A4189" w:rsidP="004B2056">
      <w:pPr>
        <w:pStyle w:val="ListParagraph"/>
        <w:numPr>
          <w:ilvl w:val="1"/>
          <w:numId w:val="20"/>
        </w:numPr>
        <w:tabs>
          <w:tab w:val="left" w:pos="5103"/>
        </w:tabs>
        <w:spacing w:after="0"/>
        <w:jc w:val="both"/>
      </w:pPr>
      <w:r>
        <w:t>Inner asymmetric: CC1 and CC2 allocation are different distance to the two CC center.</w:t>
      </w:r>
    </w:p>
    <w:p w14:paraId="603910DA" w14:textId="5B13BB0A" w:rsidR="006A4189" w:rsidRDefault="006A4189" w:rsidP="004B2056">
      <w:pPr>
        <w:pStyle w:val="ListParagraph"/>
        <w:numPr>
          <w:ilvl w:val="1"/>
          <w:numId w:val="20"/>
        </w:numPr>
        <w:tabs>
          <w:tab w:val="left" w:pos="5103"/>
        </w:tabs>
        <w:spacing w:after="0"/>
        <w:jc w:val="both"/>
      </w:pPr>
      <w:r>
        <w:t xml:space="preserve">Outer </w:t>
      </w:r>
      <w:proofErr w:type="spellStart"/>
      <w:r>
        <w:t>marginal_sym</w:t>
      </w:r>
      <w:proofErr w:type="spellEnd"/>
      <w:r>
        <w:t>: outer allocation that is just at the limit of the symmetric inner region. If delta is small then inner allocation region has margin.</w:t>
      </w:r>
    </w:p>
    <w:p w14:paraId="1FAE7E0E" w14:textId="5EDAAFDD" w:rsidR="00CE163F" w:rsidRDefault="00CE163F" w:rsidP="004B2056">
      <w:pPr>
        <w:pStyle w:val="ListParagraph"/>
        <w:numPr>
          <w:ilvl w:val="1"/>
          <w:numId w:val="20"/>
        </w:numPr>
        <w:tabs>
          <w:tab w:val="left" w:pos="5103"/>
        </w:tabs>
        <w:spacing w:after="0"/>
        <w:jc w:val="both"/>
      </w:pPr>
      <w:r>
        <w:t>Outer top: outer positioned just outside the largest possible inner allocation</w:t>
      </w:r>
    </w:p>
    <w:p w14:paraId="069990D3" w14:textId="09E0D8B1" w:rsidR="00CE163F" w:rsidRDefault="00CE163F" w:rsidP="004B2056">
      <w:pPr>
        <w:pStyle w:val="ListParagraph"/>
        <w:numPr>
          <w:ilvl w:val="1"/>
          <w:numId w:val="20"/>
        </w:numPr>
        <w:tabs>
          <w:tab w:val="left" w:pos="5103"/>
        </w:tabs>
        <w:spacing w:after="0"/>
        <w:jc w:val="both"/>
      </w:pPr>
      <w:r>
        <w:t>Outer top+1: 1RB more than maximum possible inner in each CC.</w:t>
      </w:r>
    </w:p>
    <w:p w14:paraId="5DB33625" w14:textId="1E775A6E" w:rsidR="00E971C8" w:rsidRDefault="00E971C8" w:rsidP="004B2056">
      <w:pPr>
        <w:pStyle w:val="ListParagraph"/>
        <w:numPr>
          <w:ilvl w:val="1"/>
          <w:numId w:val="20"/>
        </w:numPr>
        <w:tabs>
          <w:tab w:val="left" w:pos="5103"/>
        </w:tabs>
        <w:spacing w:after="0"/>
        <w:jc w:val="both"/>
      </w:pPr>
      <w:r>
        <w:t>Then higher outer allocations up to full allocation</w:t>
      </w:r>
    </w:p>
    <w:p w14:paraId="1EFB4687" w14:textId="499C18A1" w:rsidR="006A4189" w:rsidRPr="00A34AE5" w:rsidRDefault="006A4189" w:rsidP="006A4189">
      <w:pPr>
        <w:pStyle w:val="ListParagraph"/>
        <w:numPr>
          <w:ilvl w:val="0"/>
          <w:numId w:val="20"/>
        </w:numPr>
        <w:tabs>
          <w:tab w:val="left" w:pos="5103"/>
        </w:tabs>
        <w:spacing w:after="0"/>
        <w:jc w:val="both"/>
      </w:pPr>
      <w:r>
        <w:t xml:space="preserve">Results provides: </w:t>
      </w:r>
      <w:r w:rsidR="00CE163F">
        <w:t>back-off rounded to the lowest 0.5</w:t>
      </w:r>
      <w:r w:rsidR="00D65EB1">
        <w:t xml:space="preserve"> </w:t>
      </w:r>
      <w:r w:rsidR="00CE163F">
        <w:t>dB, limiting factor and total RB bandwidth.</w:t>
      </w:r>
    </w:p>
    <w:p w14:paraId="7CF4F73A" w14:textId="3668B3DE" w:rsidR="00577141" w:rsidRDefault="00964F98" w:rsidP="00577141">
      <w:pPr>
        <w:pStyle w:val="Heading2"/>
        <w:spacing w:after="240"/>
        <w:rPr>
          <w:sz w:val="36"/>
          <w:lang w:val="en-US"/>
        </w:rPr>
      </w:pPr>
      <w:r>
        <w:rPr>
          <w:sz w:val="36"/>
          <w:lang w:val="en-US"/>
        </w:rPr>
        <w:t>C</w:t>
      </w:r>
      <w:r w:rsidR="000578F2">
        <w:rPr>
          <w:sz w:val="36"/>
          <w:lang w:val="en-US"/>
        </w:rPr>
        <w:t xml:space="preserve">ontiguous </w:t>
      </w:r>
      <w:r w:rsidR="006202F7">
        <w:rPr>
          <w:sz w:val="36"/>
          <w:lang w:val="en-US"/>
        </w:rPr>
        <w:t xml:space="preserve">NR UL CA </w:t>
      </w:r>
      <w:r w:rsidR="00CE163F">
        <w:rPr>
          <w:sz w:val="36"/>
          <w:lang w:val="en-US"/>
        </w:rPr>
        <w:t>Results</w:t>
      </w:r>
    </w:p>
    <w:p w14:paraId="07B108C2" w14:textId="72A52953" w:rsidR="00CE163F" w:rsidRPr="00CE163F" w:rsidRDefault="00CE163F" w:rsidP="00CE163F">
      <w:pPr>
        <w:tabs>
          <w:tab w:val="left" w:pos="5103"/>
        </w:tabs>
        <w:spacing w:after="0"/>
        <w:jc w:val="both"/>
      </w:pPr>
      <w:r w:rsidRPr="00CE163F">
        <w:t>The results are provided in a set of tables that gives</w:t>
      </w:r>
      <w:r w:rsidR="00E971C8">
        <w:t xml:space="preserve"> for CP-OFDM and DFT-s-OFDM</w:t>
      </w:r>
      <w:r w:rsidRPr="00CE163F">
        <w:t xml:space="preserve">: </w:t>
      </w:r>
    </w:p>
    <w:p w14:paraId="20A095AC" w14:textId="116566BB" w:rsidR="00CE163F" w:rsidRPr="00D65EB1" w:rsidRDefault="003A7307" w:rsidP="00CE163F">
      <w:pPr>
        <w:pStyle w:val="ListParagraph"/>
        <w:numPr>
          <w:ilvl w:val="0"/>
          <w:numId w:val="22"/>
        </w:numPr>
        <w:tabs>
          <w:tab w:val="left" w:pos="5103"/>
        </w:tabs>
        <w:spacing w:after="0"/>
        <w:jc w:val="both"/>
        <w:rPr>
          <w:b/>
          <w:lang w:val="en-GB"/>
        </w:rPr>
      </w:pPr>
      <w:r>
        <w:t>B</w:t>
      </w:r>
      <w:r w:rsidR="00CE163F">
        <w:t>ack-off needed rounded to the lowest 0.5dB</w:t>
      </w:r>
      <w:proofErr w:type="gramStart"/>
      <w:r w:rsidR="00CE163F">
        <w:t xml:space="preserve">: </w:t>
      </w:r>
      <w:r w:rsidR="00CE163F" w:rsidRPr="00D65EB1">
        <w:rPr>
          <w:b/>
        </w:rPr>
        <w:t>!!!</w:t>
      </w:r>
      <w:proofErr w:type="gramEnd"/>
      <w:r w:rsidR="00CE163F" w:rsidRPr="00D65EB1">
        <w:rPr>
          <w:b/>
        </w:rPr>
        <w:t xml:space="preserve">note that it has no margin applied </w:t>
      </w:r>
      <w:r w:rsidR="005C476D" w:rsidRPr="00D65EB1">
        <w:rPr>
          <w:b/>
        </w:rPr>
        <w:t>which</w:t>
      </w:r>
      <w:r w:rsidR="00CE163F" w:rsidRPr="00D65EB1">
        <w:rPr>
          <w:b/>
        </w:rPr>
        <w:t xml:space="preserve"> will be necessary to account for variations especially for narrow allocations and memory effects creating asymmetric IMDs</w:t>
      </w:r>
    </w:p>
    <w:p w14:paraId="76775E58" w14:textId="19170112" w:rsidR="00CE163F" w:rsidRPr="00CE163F" w:rsidRDefault="003A7307" w:rsidP="00CE163F">
      <w:pPr>
        <w:pStyle w:val="ListParagraph"/>
        <w:numPr>
          <w:ilvl w:val="0"/>
          <w:numId w:val="22"/>
        </w:numPr>
        <w:tabs>
          <w:tab w:val="left" w:pos="5103"/>
        </w:tabs>
        <w:spacing w:after="0"/>
        <w:jc w:val="both"/>
        <w:rPr>
          <w:lang w:val="en-GB"/>
        </w:rPr>
      </w:pPr>
      <w:r>
        <w:t>L</w:t>
      </w:r>
      <w:r w:rsidR="00CE163F">
        <w:t>imiting factor: ACLR, SEM…</w:t>
      </w:r>
    </w:p>
    <w:p w14:paraId="51DA8705" w14:textId="5DDD521E" w:rsidR="001601FD" w:rsidRPr="00E971C8" w:rsidRDefault="00CE163F" w:rsidP="00CE163F">
      <w:pPr>
        <w:pStyle w:val="ListParagraph"/>
        <w:numPr>
          <w:ilvl w:val="0"/>
          <w:numId w:val="22"/>
        </w:numPr>
        <w:tabs>
          <w:tab w:val="left" w:pos="5103"/>
        </w:tabs>
        <w:spacing w:after="0"/>
        <w:jc w:val="both"/>
        <w:rPr>
          <w:lang w:val="en-GB"/>
        </w:rPr>
      </w:pPr>
      <w:r>
        <w:t>Total RB bandwidth to look into cor</w:t>
      </w:r>
      <w:r w:rsidR="00E971C8">
        <w:t>r</w:t>
      </w:r>
      <w:r>
        <w:t xml:space="preserve">elation of back-off with </w:t>
      </w:r>
      <w:r w:rsidR="00E971C8">
        <w:t>IMD bandwidth</w:t>
      </w:r>
    </w:p>
    <w:p w14:paraId="2B4053D8" w14:textId="77777777" w:rsidR="00E971C8" w:rsidRPr="00E971C8" w:rsidRDefault="00E971C8" w:rsidP="00E971C8">
      <w:pPr>
        <w:tabs>
          <w:tab w:val="left" w:pos="5103"/>
        </w:tabs>
        <w:spacing w:after="0"/>
        <w:jc w:val="both"/>
        <w:rPr>
          <w:lang w:val="en-GB"/>
        </w:rPr>
      </w:pPr>
    </w:p>
    <w:p w14:paraId="678A3767" w14:textId="0E548081" w:rsidR="003A7307" w:rsidRDefault="00904FFC" w:rsidP="003A7307">
      <w:pPr>
        <w:spacing w:after="0"/>
      </w:pPr>
      <w:r>
        <w:t>If these measured results are not as exhaustive</w:t>
      </w:r>
      <w:r w:rsidR="00D65EB1">
        <w:t xml:space="preserve"> as</w:t>
      </w:r>
      <w:r>
        <w:t xml:space="preserve"> simulation</w:t>
      </w:r>
      <w:r w:rsidR="00D65EB1">
        <w:t>s</w:t>
      </w:r>
      <w:r>
        <w:t xml:space="preserve"> and their “nice” triangle results, this measurement set already provides a large amount of data</w:t>
      </w:r>
      <w:r w:rsidR="00D65EB1">
        <w:t>.</w:t>
      </w:r>
      <w:r>
        <w:t xml:space="preserve"> </w:t>
      </w:r>
      <w:r w:rsidR="00D65EB1">
        <w:t>S</w:t>
      </w:r>
      <w:r>
        <w:t>ince for 2CC case there is no real presentation feasible</w:t>
      </w:r>
      <w:r w:rsidR="00D65EB1">
        <w:t>.</w:t>
      </w:r>
      <w:r w:rsidR="002414CC">
        <w:t xml:space="preserve"> </w:t>
      </w:r>
      <w:r w:rsidR="00D65EB1">
        <w:t xml:space="preserve">Still, </w:t>
      </w:r>
      <w:r w:rsidR="002414CC">
        <w:t>to ease the analysis,</w:t>
      </w:r>
      <w:r>
        <w:t xml:space="preserve"> the results are plotted in Figure 1 with back-off versus total RB bandwidth inner and outer allocations use different </w:t>
      </w:r>
      <w:r w:rsidR="002414CC">
        <w:t>markers (inner can fit in the corresponding outer marker for</w:t>
      </w:r>
      <w:r>
        <w:t xml:space="preserve"> CP-OFDM and DFT-s-O</w:t>
      </w:r>
      <w:r w:rsidR="002414CC">
        <w:t>FDM</w:t>
      </w:r>
      <w:r w:rsidR="00D65EB1">
        <w:t>,</w:t>
      </w:r>
      <w:r w:rsidR="002414CC">
        <w:t xml:space="preserve"> while the different channel configurations use different colors. </w:t>
      </w:r>
    </w:p>
    <w:p w14:paraId="08B4CE3C" w14:textId="77777777" w:rsidR="003A7307" w:rsidRDefault="003A7307" w:rsidP="003A7307">
      <w:pPr>
        <w:spacing w:after="0"/>
      </w:pPr>
    </w:p>
    <w:p w14:paraId="019B8812" w14:textId="3C7C5424" w:rsidR="00E971C8" w:rsidRDefault="002414CC" w:rsidP="003A7307">
      <w:pPr>
        <w:spacing w:after="0"/>
      </w:pPr>
      <w:r>
        <w:t>Still the tables are important because it provid</w:t>
      </w:r>
      <w:r w:rsidR="003A7307">
        <w:t>es the corresponding limitation</w:t>
      </w:r>
    </w:p>
    <w:p w14:paraId="665812D0" w14:textId="5941093A" w:rsidR="003A7307" w:rsidRPr="00E971C8" w:rsidRDefault="003A7307" w:rsidP="003A7307">
      <w:pPr>
        <w:pStyle w:val="ListParagraph"/>
        <w:numPr>
          <w:ilvl w:val="0"/>
          <w:numId w:val="22"/>
        </w:numPr>
        <w:tabs>
          <w:tab w:val="left" w:pos="5103"/>
        </w:tabs>
        <w:spacing w:after="0"/>
        <w:jc w:val="both"/>
        <w:rPr>
          <w:lang w:val="en-GB"/>
        </w:rPr>
      </w:pPr>
      <w:r>
        <w:t>Table 1: provides results for 20</w:t>
      </w:r>
      <w:r w:rsidR="00D65EB1">
        <w:t xml:space="preserve"> </w:t>
      </w:r>
      <w:r>
        <w:t>MHz+20</w:t>
      </w:r>
      <w:r w:rsidR="00D65EB1">
        <w:t xml:space="preserve"> </w:t>
      </w:r>
      <w:r>
        <w:t>MHz cases</w:t>
      </w:r>
    </w:p>
    <w:p w14:paraId="5BD6AD12" w14:textId="72CC73F8" w:rsidR="003A7307" w:rsidRPr="00E971C8" w:rsidRDefault="003A7307" w:rsidP="003A7307">
      <w:pPr>
        <w:pStyle w:val="ListParagraph"/>
        <w:numPr>
          <w:ilvl w:val="0"/>
          <w:numId w:val="22"/>
        </w:numPr>
        <w:tabs>
          <w:tab w:val="left" w:pos="5103"/>
        </w:tabs>
        <w:spacing w:after="0"/>
        <w:jc w:val="both"/>
        <w:rPr>
          <w:lang w:val="en-GB"/>
        </w:rPr>
      </w:pPr>
      <w:r>
        <w:t>Table 2: provides results for 50</w:t>
      </w:r>
      <w:r w:rsidR="00D65EB1">
        <w:t xml:space="preserve"> </w:t>
      </w:r>
      <w:r>
        <w:t>MHz+50</w:t>
      </w:r>
      <w:r w:rsidR="00D65EB1">
        <w:t xml:space="preserve"> </w:t>
      </w:r>
      <w:r>
        <w:t>MHz cases</w:t>
      </w:r>
    </w:p>
    <w:p w14:paraId="55BA80E0" w14:textId="4E260BED" w:rsidR="003A7307" w:rsidRPr="00E971C8" w:rsidRDefault="003A7307" w:rsidP="003A7307">
      <w:pPr>
        <w:pStyle w:val="ListParagraph"/>
        <w:numPr>
          <w:ilvl w:val="0"/>
          <w:numId w:val="22"/>
        </w:numPr>
        <w:tabs>
          <w:tab w:val="left" w:pos="5103"/>
        </w:tabs>
        <w:spacing w:after="0"/>
        <w:jc w:val="both"/>
        <w:rPr>
          <w:lang w:val="en-GB"/>
        </w:rPr>
      </w:pPr>
      <w:r>
        <w:t>Table 3: provides results for 100</w:t>
      </w:r>
      <w:r w:rsidR="00D65EB1">
        <w:t xml:space="preserve"> </w:t>
      </w:r>
      <w:r>
        <w:t>MHz+100</w:t>
      </w:r>
      <w:r w:rsidR="00D65EB1">
        <w:t xml:space="preserve"> </w:t>
      </w:r>
      <w:r>
        <w:t>MHz cases</w:t>
      </w:r>
    </w:p>
    <w:p w14:paraId="2AC1C2BA" w14:textId="513D8CF8" w:rsidR="003A7307" w:rsidRPr="003A7307" w:rsidRDefault="003A7307" w:rsidP="00904FFC">
      <w:pPr>
        <w:pStyle w:val="ListParagraph"/>
        <w:numPr>
          <w:ilvl w:val="0"/>
          <w:numId w:val="22"/>
        </w:numPr>
        <w:tabs>
          <w:tab w:val="left" w:pos="5103"/>
        </w:tabs>
        <w:spacing w:after="0"/>
        <w:jc w:val="both"/>
        <w:rPr>
          <w:lang w:val="en-GB"/>
        </w:rPr>
      </w:pPr>
      <w:r>
        <w:t>Table 4: provides results for 60</w:t>
      </w:r>
      <w:r w:rsidR="00D65EB1">
        <w:t xml:space="preserve"> </w:t>
      </w:r>
      <w:r>
        <w:t>MHz+100</w:t>
      </w:r>
      <w:r w:rsidR="00D65EB1">
        <w:t xml:space="preserve"> </w:t>
      </w:r>
      <w:r>
        <w:t>MHz cases</w:t>
      </w:r>
    </w:p>
    <w:p w14:paraId="7A22D98A" w14:textId="77777777" w:rsidR="005C476D" w:rsidRDefault="005C476D" w:rsidP="007A7158">
      <w:pPr>
        <w:tabs>
          <w:tab w:val="left" w:pos="5103"/>
        </w:tabs>
        <w:spacing w:after="0"/>
        <w:jc w:val="both"/>
      </w:pPr>
    </w:p>
    <w:p w14:paraId="75E27DD7" w14:textId="388BAA1A" w:rsidR="002414CC" w:rsidRDefault="002414CC" w:rsidP="007A7158">
      <w:pPr>
        <w:tabs>
          <w:tab w:val="left" w:pos="5103"/>
        </w:tabs>
        <w:spacing w:after="0"/>
        <w:jc w:val="both"/>
      </w:pPr>
      <w:r>
        <w:t>Code for Figure 1</w:t>
      </w:r>
    </w:p>
    <w:p w14:paraId="610982B5" w14:textId="5944307C" w:rsidR="002414CC" w:rsidRDefault="00792064" w:rsidP="007A7158">
      <w:pPr>
        <w:pStyle w:val="ListParagraph"/>
        <w:numPr>
          <w:ilvl w:val="0"/>
          <w:numId w:val="24"/>
        </w:numPr>
        <w:tabs>
          <w:tab w:val="left" w:pos="5103"/>
        </w:tabs>
        <w:spacing w:after="0"/>
        <w:jc w:val="both"/>
      </w:pPr>
      <w:r>
        <w:t>20+20</w:t>
      </w:r>
      <w:r w:rsidR="00D65EB1">
        <w:t xml:space="preserve"> </w:t>
      </w:r>
      <w:r>
        <w:t>MHz (blue), 50+50</w:t>
      </w:r>
      <w:r w:rsidR="00D65EB1">
        <w:t xml:space="preserve"> </w:t>
      </w:r>
      <w:r>
        <w:t>MHz (red), 100+100</w:t>
      </w:r>
      <w:r w:rsidR="00D65EB1">
        <w:t xml:space="preserve"> </w:t>
      </w:r>
      <w:r>
        <w:t>MHz (purple), 60+100</w:t>
      </w:r>
      <w:r w:rsidR="00D65EB1">
        <w:t xml:space="preserve"> </w:t>
      </w:r>
      <w:r>
        <w:t>MHz (green)</w:t>
      </w:r>
    </w:p>
    <w:p w14:paraId="77A41DF8" w14:textId="3D5630B6" w:rsidR="00E671BB" w:rsidRDefault="00E671BB" w:rsidP="007A7158">
      <w:pPr>
        <w:pStyle w:val="ListParagraph"/>
        <w:numPr>
          <w:ilvl w:val="0"/>
          <w:numId w:val="24"/>
        </w:numPr>
        <w:tabs>
          <w:tab w:val="left" w:pos="5103"/>
        </w:tabs>
        <w:spacing w:after="0"/>
        <w:jc w:val="both"/>
      </w:pPr>
      <w:r>
        <w:t>Outer CP-OFDM: Diamond</w:t>
      </w:r>
      <w:r w:rsidR="007A7158">
        <w:t xml:space="preserve">, </w:t>
      </w:r>
      <w:r>
        <w:t>Outer DFT-s-OFDM: Square</w:t>
      </w:r>
      <w:r w:rsidR="007A7158">
        <w:t xml:space="preserve">, </w:t>
      </w:r>
      <w:r w:rsidR="00792064">
        <w:t>Inner</w:t>
      </w:r>
      <w:r>
        <w:t xml:space="preserve"> CP-OFDM: </w:t>
      </w:r>
      <w:r w:rsidR="00792064">
        <w:t>+</w:t>
      </w:r>
      <w:r w:rsidR="007A7158">
        <w:t xml:space="preserve">, </w:t>
      </w:r>
      <w:r w:rsidR="00792064">
        <w:t>Inner</w:t>
      </w:r>
      <w:r>
        <w:t xml:space="preserve"> DFT-s-OFDM: </w:t>
      </w:r>
      <w:r w:rsidR="00792064">
        <w:t>x</w:t>
      </w:r>
    </w:p>
    <w:p w14:paraId="7772F333" w14:textId="77777777" w:rsidR="00E671BB" w:rsidRDefault="00E671BB" w:rsidP="00904FFC"/>
    <w:p w14:paraId="3AE0261F" w14:textId="7D934C1D" w:rsidR="003A7307" w:rsidRDefault="003747F0" w:rsidP="003A7307">
      <w:pPr>
        <w:keepNext/>
        <w:jc w:val="center"/>
      </w:pPr>
      <w:r>
        <w:rPr>
          <w:noProof/>
        </w:rPr>
        <w:lastRenderedPageBreak/>
        <w:drawing>
          <wp:inline distT="0" distB="0" distL="0" distR="0" wp14:anchorId="3F60B02D" wp14:editId="013FDCAD">
            <wp:extent cx="5527963" cy="410574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5841" cy="4104169"/>
                    </a:xfrm>
                    <a:prstGeom prst="rect">
                      <a:avLst/>
                    </a:prstGeom>
                    <a:noFill/>
                  </pic:spPr>
                </pic:pic>
              </a:graphicData>
            </a:graphic>
          </wp:inline>
        </w:drawing>
      </w:r>
    </w:p>
    <w:p w14:paraId="554C31CA" w14:textId="4DC5FFB1" w:rsidR="00E671BB" w:rsidRDefault="003A7307" w:rsidP="003A7307">
      <w:pPr>
        <w:pStyle w:val="Caption"/>
        <w:jc w:val="center"/>
      </w:pPr>
      <w:r>
        <w:t xml:space="preserve">Figure </w:t>
      </w:r>
      <w:r w:rsidR="0043110D">
        <w:fldChar w:fldCharType="begin"/>
      </w:r>
      <w:r w:rsidR="0043110D">
        <w:instrText xml:space="preserve"> SEQ Figure \* ARABIC </w:instrText>
      </w:r>
      <w:r w:rsidR="0043110D">
        <w:fldChar w:fldCharType="separate"/>
      </w:r>
      <w:r>
        <w:rPr>
          <w:noProof/>
        </w:rPr>
        <w:t>1</w:t>
      </w:r>
      <w:r w:rsidR="0043110D">
        <w:rPr>
          <w:noProof/>
        </w:rPr>
        <w:fldChar w:fldCharType="end"/>
      </w:r>
      <w:r>
        <w:t>: PA back-off versus various contiguous CC channel and RB allocations</w:t>
      </w:r>
    </w:p>
    <w:p w14:paraId="53B256B0" w14:textId="5ED61167" w:rsidR="002414CC" w:rsidRPr="003A7307" w:rsidRDefault="003A7307" w:rsidP="003A7307">
      <w:pPr>
        <w:spacing w:after="0"/>
        <w:rPr>
          <w:b/>
        </w:rPr>
      </w:pPr>
      <w:r w:rsidRPr="003A7307">
        <w:rPr>
          <w:b/>
        </w:rPr>
        <w:t>Observations</w:t>
      </w:r>
      <w:r w:rsidR="005C476D">
        <w:rPr>
          <w:b/>
        </w:rPr>
        <w:t>, o</w:t>
      </w:r>
      <w:r>
        <w:rPr>
          <w:b/>
        </w:rPr>
        <w:t>nly relative back-off behavior is important</w:t>
      </w:r>
      <w:r w:rsidR="00D65EB1">
        <w:rPr>
          <w:b/>
        </w:rPr>
        <w:t>,</w:t>
      </w:r>
      <w:r>
        <w:rPr>
          <w:b/>
        </w:rPr>
        <w:t xml:space="preserve"> not the absolute values</w:t>
      </w:r>
      <w:r w:rsidR="00D65EB1">
        <w:rPr>
          <w:b/>
        </w:rPr>
        <w:t>,</w:t>
      </w:r>
      <w:r>
        <w:rPr>
          <w:b/>
        </w:rPr>
        <w:t xml:space="preserve"> at this time</w:t>
      </w:r>
      <w:r w:rsidRPr="003A7307">
        <w:rPr>
          <w:b/>
        </w:rPr>
        <w:t>:</w:t>
      </w:r>
    </w:p>
    <w:p w14:paraId="2290E077" w14:textId="573DEEDD" w:rsidR="003A7307" w:rsidRDefault="003A7307" w:rsidP="003A7307">
      <w:pPr>
        <w:pStyle w:val="ListParagraph"/>
        <w:numPr>
          <w:ilvl w:val="0"/>
          <w:numId w:val="26"/>
        </w:numPr>
        <w:spacing w:after="0"/>
        <w:rPr>
          <w:b/>
        </w:rPr>
      </w:pPr>
      <w:r>
        <w:rPr>
          <w:b/>
        </w:rPr>
        <w:t>CP-OFDM Outer allocations require at least 6.5</w:t>
      </w:r>
      <w:r w:rsidR="00D65EB1">
        <w:rPr>
          <w:b/>
        </w:rPr>
        <w:t xml:space="preserve"> </w:t>
      </w:r>
      <w:r>
        <w:rPr>
          <w:b/>
        </w:rPr>
        <w:t>dB back-off and it should be noted that the largest 100+100</w:t>
      </w:r>
      <w:r w:rsidR="00D65EB1">
        <w:rPr>
          <w:b/>
        </w:rPr>
        <w:t xml:space="preserve"> </w:t>
      </w:r>
      <w:r>
        <w:rPr>
          <w:b/>
        </w:rPr>
        <w:t>MHz bandwidth needs an extra dB back-off</w:t>
      </w:r>
    </w:p>
    <w:p w14:paraId="7121FA02" w14:textId="7E016EA5" w:rsidR="003A7307" w:rsidRPr="003A7307" w:rsidRDefault="003A7307" w:rsidP="003A7307">
      <w:pPr>
        <w:pStyle w:val="ListParagraph"/>
        <w:numPr>
          <w:ilvl w:val="0"/>
          <w:numId w:val="26"/>
        </w:numPr>
        <w:spacing w:after="0"/>
        <w:rPr>
          <w:b/>
        </w:rPr>
      </w:pPr>
      <w:r w:rsidRPr="003A7307">
        <w:rPr>
          <w:b/>
        </w:rPr>
        <w:t xml:space="preserve">DFT-s-OFDM </w:t>
      </w:r>
      <w:r w:rsidR="003747F0">
        <w:rPr>
          <w:b/>
        </w:rPr>
        <w:t>o</w:t>
      </w:r>
      <w:r w:rsidRPr="003A7307">
        <w:rPr>
          <w:b/>
        </w:rPr>
        <w:t xml:space="preserve">uter allocations require at least </w:t>
      </w:r>
      <w:r>
        <w:rPr>
          <w:b/>
        </w:rPr>
        <w:t>5</w:t>
      </w:r>
      <w:r w:rsidR="00D65EB1">
        <w:rPr>
          <w:b/>
        </w:rPr>
        <w:t xml:space="preserve"> </w:t>
      </w:r>
      <w:r>
        <w:rPr>
          <w:b/>
        </w:rPr>
        <w:t>dB back-off</w:t>
      </w:r>
    </w:p>
    <w:p w14:paraId="3EDCA762" w14:textId="17FEB265" w:rsidR="003A7307" w:rsidRDefault="003747F0" w:rsidP="003A7307">
      <w:pPr>
        <w:pStyle w:val="ListParagraph"/>
        <w:numPr>
          <w:ilvl w:val="0"/>
          <w:numId w:val="26"/>
        </w:numPr>
        <w:spacing w:after="0"/>
        <w:rPr>
          <w:b/>
        </w:rPr>
      </w:pPr>
      <w:r>
        <w:rPr>
          <w:b/>
        </w:rPr>
        <w:t xml:space="preserve">Inner </w:t>
      </w:r>
      <w:r w:rsidR="003A7307">
        <w:rPr>
          <w:b/>
        </w:rPr>
        <w:t xml:space="preserve">CP-OFDM allocations require </w:t>
      </w:r>
      <w:r>
        <w:rPr>
          <w:b/>
        </w:rPr>
        <w:t>up to 2</w:t>
      </w:r>
      <w:r w:rsidR="00D65EB1">
        <w:rPr>
          <w:b/>
        </w:rPr>
        <w:t xml:space="preserve"> </w:t>
      </w:r>
      <w:r>
        <w:rPr>
          <w:b/>
        </w:rPr>
        <w:t>dB back-off</w:t>
      </w:r>
    </w:p>
    <w:p w14:paraId="038D28A1" w14:textId="210E8950" w:rsidR="003747F0" w:rsidRDefault="003747F0" w:rsidP="003A7307">
      <w:pPr>
        <w:pStyle w:val="ListParagraph"/>
        <w:numPr>
          <w:ilvl w:val="0"/>
          <w:numId w:val="26"/>
        </w:numPr>
        <w:spacing w:after="0"/>
        <w:rPr>
          <w:b/>
        </w:rPr>
      </w:pPr>
      <w:r>
        <w:rPr>
          <w:b/>
        </w:rPr>
        <w:t>Inner DFT-s-OFDM allocations needs up to 1.5</w:t>
      </w:r>
      <w:r w:rsidR="00D65EB1">
        <w:rPr>
          <w:b/>
        </w:rPr>
        <w:t xml:space="preserve"> </w:t>
      </w:r>
      <w:r>
        <w:rPr>
          <w:b/>
        </w:rPr>
        <w:t>dB</w:t>
      </w:r>
    </w:p>
    <w:p w14:paraId="0DD02519" w14:textId="16B7930D" w:rsidR="003747F0" w:rsidRDefault="003747F0" w:rsidP="003A7307">
      <w:pPr>
        <w:pStyle w:val="ListParagraph"/>
        <w:numPr>
          <w:ilvl w:val="0"/>
          <w:numId w:val="26"/>
        </w:numPr>
        <w:spacing w:after="0"/>
        <w:rPr>
          <w:b/>
        </w:rPr>
      </w:pPr>
      <w:r>
        <w:rPr>
          <w:b/>
        </w:rPr>
        <w:t>Best inner allocations need no back-off but adding in-band requirements may re-consider this.</w:t>
      </w:r>
    </w:p>
    <w:p w14:paraId="36018CE5" w14:textId="29A518EA" w:rsidR="0003797B" w:rsidRDefault="003747F0" w:rsidP="0003797B">
      <w:pPr>
        <w:pStyle w:val="ListParagraph"/>
        <w:numPr>
          <w:ilvl w:val="0"/>
          <w:numId w:val="26"/>
        </w:numPr>
        <w:spacing w:after="0"/>
        <w:rPr>
          <w:b/>
        </w:rPr>
      </w:pPr>
      <w:r>
        <w:rPr>
          <w:b/>
        </w:rPr>
        <w:t>There is a lot of inner cases that match an outer case, this is for the outer cases than are just outside the inner region and shows that there is margin in the way the inner region is defined</w:t>
      </w:r>
    </w:p>
    <w:p w14:paraId="3DB9901D" w14:textId="77777777" w:rsidR="0003797B" w:rsidRDefault="0003797B" w:rsidP="0003797B">
      <w:pPr>
        <w:spacing w:after="0"/>
        <w:rPr>
          <w:b/>
        </w:rPr>
      </w:pPr>
    </w:p>
    <w:p w14:paraId="5BBD98D2" w14:textId="73C8E0EA" w:rsidR="0003797B" w:rsidRPr="0003797B" w:rsidRDefault="0003797B" w:rsidP="0003797B">
      <w:pPr>
        <w:spacing w:after="0"/>
      </w:pPr>
      <w:r w:rsidRPr="0003797B">
        <w:t>To further analyze what is driving the back-off further observations shall be taken from the tables.</w:t>
      </w:r>
    </w:p>
    <w:p w14:paraId="46BFD74E" w14:textId="77777777" w:rsidR="00E971C8" w:rsidRPr="00E971C8" w:rsidRDefault="00E971C8" w:rsidP="00E971C8"/>
    <w:p w14:paraId="61A35FE0" w14:textId="037A644D" w:rsidR="003A7307" w:rsidRDefault="003A7307" w:rsidP="003A7307">
      <w:pPr>
        <w:pStyle w:val="Caption"/>
        <w:keepNext/>
        <w:jc w:val="center"/>
      </w:pPr>
      <w:r>
        <w:lastRenderedPageBreak/>
        <w:t xml:space="preserve">Table </w:t>
      </w:r>
      <w:r w:rsidR="0043110D">
        <w:fldChar w:fldCharType="begin"/>
      </w:r>
      <w:r w:rsidR="0043110D">
        <w:instrText xml:space="preserve"> SEQ Table \* ARABIC </w:instrText>
      </w:r>
      <w:r w:rsidR="0043110D">
        <w:fldChar w:fldCharType="separate"/>
      </w:r>
      <w:r>
        <w:rPr>
          <w:noProof/>
        </w:rPr>
        <w:t>1</w:t>
      </w:r>
      <w:r w:rsidR="0043110D">
        <w:rPr>
          <w:noProof/>
        </w:rPr>
        <w:fldChar w:fldCharType="end"/>
      </w:r>
      <w:r>
        <w:t>: Results for 20</w:t>
      </w:r>
      <w:r w:rsidR="00D65EB1">
        <w:t xml:space="preserve"> </w:t>
      </w:r>
      <w:r>
        <w:t>MHz+20</w:t>
      </w:r>
      <w:r w:rsidR="00D65EB1">
        <w:t xml:space="preserve"> </w:t>
      </w:r>
      <w:r>
        <w:t>MHz case</w:t>
      </w:r>
    </w:p>
    <w:p w14:paraId="08A3A9FB" w14:textId="6679160F" w:rsidR="003A7307" w:rsidRDefault="00504F5B" w:rsidP="003A7307">
      <w:pPr>
        <w:jc w:val="center"/>
      </w:pPr>
      <w:r w:rsidRPr="00504F5B">
        <w:rPr>
          <w:noProof/>
        </w:rPr>
        <w:drawing>
          <wp:inline distT="0" distB="0" distL="0" distR="0" wp14:anchorId="0C17FFD4" wp14:editId="37E61887">
            <wp:extent cx="5732145" cy="3559002"/>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3559002"/>
                    </a:xfrm>
                    <a:prstGeom prst="rect">
                      <a:avLst/>
                    </a:prstGeom>
                    <a:noFill/>
                    <a:ln>
                      <a:noFill/>
                    </a:ln>
                  </pic:spPr>
                </pic:pic>
              </a:graphicData>
            </a:graphic>
          </wp:inline>
        </w:drawing>
      </w:r>
    </w:p>
    <w:p w14:paraId="09BCB5AA" w14:textId="3E42E1D2" w:rsidR="003A7307" w:rsidRDefault="003A7307" w:rsidP="003A7307">
      <w:pPr>
        <w:pStyle w:val="Caption"/>
        <w:keepNext/>
        <w:jc w:val="center"/>
      </w:pPr>
      <w:r>
        <w:lastRenderedPageBreak/>
        <w:t xml:space="preserve">Table </w:t>
      </w:r>
      <w:r w:rsidR="0043110D">
        <w:fldChar w:fldCharType="begin"/>
      </w:r>
      <w:r w:rsidR="0043110D">
        <w:instrText xml:space="preserve"> SEQ Table \* ARABIC </w:instrText>
      </w:r>
      <w:r w:rsidR="0043110D">
        <w:fldChar w:fldCharType="separate"/>
      </w:r>
      <w:r>
        <w:rPr>
          <w:noProof/>
        </w:rPr>
        <w:t>2</w:t>
      </w:r>
      <w:r w:rsidR="0043110D">
        <w:rPr>
          <w:noProof/>
        </w:rPr>
        <w:fldChar w:fldCharType="end"/>
      </w:r>
      <w:r>
        <w:t xml:space="preserve">: Results for </w:t>
      </w:r>
      <w:r w:rsidR="007F514D">
        <w:t>5</w:t>
      </w:r>
      <w:r>
        <w:t>0</w:t>
      </w:r>
      <w:r w:rsidR="00D65EB1">
        <w:t xml:space="preserve"> </w:t>
      </w:r>
      <w:r>
        <w:t>MHz+</w:t>
      </w:r>
      <w:r w:rsidR="007F514D">
        <w:t>5</w:t>
      </w:r>
      <w:r>
        <w:t>0</w:t>
      </w:r>
      <w:r w:rsidR="00D65EB1">
        <w:t xml:space="preserve"> </w:t>
      </w:r>
      <w:r>
        <w:t>MHz case</w:t>
      </w:r>
    </w:p>
    <w:p w14:paraId="2333F391" w14:textId="50134268" w:rsidR="003A7307" w:rsidRDefault="00504F5B" w:rsidP="003A7307">
      <w:pPr>
        <w:jc w:val="center"/>
      </w:pPr>
      <w:r w:rsidRPr="00504F5B">
        <w:rPr>
          <w:noProof/>
        </w:rPr>
        <w:drawing>
          <wp:inline distT="0" distB="0" distL="0" distR="0" wp14:anchorId="29BF1ACF" wp14:editId="62EB531E">
            <wp:extent cx="5732145" cy="5139054"/>
            <wp:effectExtent l="0" t="0" r="190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5139054"/>
                    </a:xfrm>
                    <a:prstGeom prst="rect">
                      <a:avLst/>
                    </a:prstGeom>
                    <a:noFill/>
                    <a:ln>
                      <a:noFill/>
                    </a:ln>
                  </pic:spPr>
                </pic:pic>
              </a:graphicData>
            </a:graphic>
          </wp:inline>
        </w:drawing>
      </w:r>
    </w:p>
    <w:p w14:paraId="1B13CFE7" w14:textId="309B0F4A" w:rsidR="003A7307" w:rsidRDefault="003A7307" w:rsidP="003A7307">
      <w:pPr>
        <w:pStyle w:val="Caption"/>
        <w:keepNext/>
        <w:jc w:val="center"/>
      </w:pPr>
      <w:r>
        <w:lastRenderedPageBreak/>
        <w:t xml:space="preserve">Table </w:t>
      </w:r>
      <w:r w:rsidR="0043110D">
        <w:fldChar w:fldCharType="begin"/>
      </w:r>
      <w:r w:rsidR="0043110D">
        <w:instrText xml:space="preserve"> SEQ Table \* ARABIC </w:instrText>
      </w:r>
      <w:r w:rsidR="0043110D">
        <w:fldChar w:fldCharType="separate"/>
      </w:r>
      <w:r>
        <w:rPr>
          <w:noProof/>
        </w:rPr>
        <w:t>3</w:t>
      </w:r>
      <w:r w:rsidR="0043110D">
        <w:rPr>
          <w:noProof/>
        </w:rPr>
        <w:fldChar w:fldCharType="end"/>
      </w:r>
      <w:r>
        <w:t xml:space="preserve">: Results for </w:t>
      </w:r>
      <w:r w:rsidR="007F514D">
        <w:t>10</w:t>
      </w:r>
      <w:r>
        <w:t>0</w:t>
      </w:r>
      <w:r w:rsidR="00D65EB1">
        <w:t xml:space="preserve"> </w:t>
      </w:r>
      <w:r>
        <w:t>MHz+</w:t>
      </w:r>
      <w:r w:rsidR="007F514D">
        <w:t>10</w:t>
      </w:r>
      <w:r>
        <w:t>0</w:t>
      </w:r>
      <w:r w:rsidR="00D65EB1">
        <w:t xml:space="preserve"> </w:t>
      </w:r>
      <w:r>
        <w:t>MHz case</w:t>
      </w:r>
    </w:p>
    <w:p w14:paraId="58563E76" w14:textId="453C3839" w:rsidR="003A7307" w:rsidRDefault="00504F5B" w:rsidP="00504F5B">
      <w:r w:rsidRPr="00504F5B">
        <w:rPr>
          <w:noProof/>
        </w:rPr>
        <w:drawing>
          <wp:inline distT="0" distB="0" distL="0" distR="0" wp14:anchorId="20A2512A" wp14:editId="3ACB58F9">
            <wp:extent cx="5732145" cy="5139054"/>
            <wp:effectExtent l="0" t="0" r="190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5139054"/>
                    </a:xfrm>
                    <a:prstGeom prst="rect">
                      <a:avLst/>
                    </a:prstGeom>
                    <a:noFill/>
                    <a:ln>
                      <a:noFill/>
                    </a:ln>
                  </pic:spPr>
                </pic:pic>
              </a:graphicData>
            </a:graphic>
          </wp:inline>
        </w:drawing>
      </w:r>
    </w:p>
    <w:p w14:paraId="7FA715BF" w14:textId="54862ACD" w:rsidR="003A7307" w:rsidRDefault="003A7307" w:rsidP="003A7307">
      <w:pPr>
        <w:pStyle w:val="Caption"/>
        <w:keepNext/>
        <w:jc w:val="center"/>
      </w:pPr>
      <w:r>
        <w:lastRenderedPageBreak/>
        <w:t xml:space="preserve">Table </w:t>
      </w:r>
      <w:r w:rsidR="0043110D">
        <w:fldChar w:fldCharType="begin"/>
      </w:r>
      <w:r w:rsidR="0043110D">
        <w:instrText xml:space="preserve"> SEQ Table \* ARABIC </w:instrText>
      </w:r>
      <w:r w:rsidR="0043110D">
        <w:fldChar w:fldCharType="separate"/>
      </w:r>
      <w:r>
        <w:rPr>
          <w:noProof/>
        </w:rPr>
        <w:t>4</w:t>
      </w:r>
      <w:r w:rsidR="0043110D">
        <w:rPr>
          <w:noProof/>
        </w:rPr>
        <w:fldChar w:fldCharType="end"/>
      </w:r>
      <w:r>
        <w:t xml:space="preserve">: Results for </w:t>
      </w:r>
      <w:r w:rsidR="007F514D">
        <w:t>6</w:t>
      </w:r>
      <w:r>
        <w:t>0</w:t>
      </w:r>
      <w:r w:rsidR="00D65EB1">
        <w:t xml:space="preserve"> </w:t>
      </w:r>
      <w:r>
        <w:t>MHz+</w:t>
      </w:r>
      <w:r w:rsidR="007F514D">
        <w:t>10</w:t>
      </w:r>
      <w:r>
        <w:t>0</w:t>
      </w:r>
      <w:r w:rsidR="00D65EB1">
        <w:t xml:space="preserve"> </w:t>
      </w:r>
      <w:r>
        <w:t>MHz case</w:t>
      </w:r>
    </w:p>
    <w:p w14:paraId="26210FDE" w14:textId="5EFD031F" w:rsidR="00504F5B" w:rsidRPr="00504F5B" w:rsidRDefault="00504F5B" w:rsidP="00504F5B">
      <w:r w:rsidRPr="00504F5B">
        <w:rPr>
          <w:noProof/>
        </w:rPr>
        <w:drawing>
          <wp:inline distT="0" distB="0" distL="0" distR="0" wp14:anchorId="21BC7694" wp14:editId="37C080AC">
            <wp:extent cx="5732145" cy="448108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2145" cy="4481080"/>
                    </a:xfrm>
                    <a:prstGeom prst="rect">
                      <a:avLst/>
                    </a:prstGeom>
                    <a:noFill/>
                    <a:ln>
                      <a:noFill/>
                    </a:ln>
                  </pic:spPr>
                </pic:pic>
              </a:graphicData>
            </a:graphic>
          </wp:inline>
        </w:drawing>
      </w:r>
    </w:p>
    <w:p w14:paraId="7C69696A" w14:textId="3179CF31" w:rsidR="0003797B" w:rsidRDefault="0003797B" w:rsidP="007F514D">
      <w:pPr>
        <w:spacing w:after="0"/>
        <w:rPr>
          <w:b/>
        </w:rPr>
      </w:pPr>
      <w:r w:rsidRPr="0003797B">
        <w:rPr>
          <w:b/>
        </w:rPr>
        <w:t>Observations from tables:</w:t>
      </w:r>
    </w:p>
    <w:p w14:paraId="290E50EF" w14:textId="3A24E3AC" w:rsidR="0003797B" w:rsidRPr="007F514D" w:rsidRDefault="0003797B" w:rsidP="007F514D">
      <w:pPr>
        <w:pStyle w:val="ListParagraph"/>
        <w:numPr>
          <w:ilvl w:val="0"/>
          <w:numId w:val="28"/>
        </w:numPr>
        <w:spacing w:after="0"/>
        <w:rPr>
          <w:b/>
        </w:rPr>
      </w:pPr>
      <w:r w:rsidRPr="007F514D">
        <w:rPr>
          <w:b/>
        </w:rPr>
        <w:t>Main limitations come from ACLR (larger allocations) or -13</w:t>
      </w:r>
      <w:r w:rsidR="00D65EB1">
        <w:rPr>
          <w:b/>
        </w:rPr>
        <w:t xml:space="preserve"> </w:t>
      </w:r>
      <w:proofErr w:type="spellStart"/>
      <w:r w:rsidRPr="007F514D">
        <w:rPr>
          <w:b/>
        </w:rPr>
        <w:t>dBm</w:t>
      </w:r>
      <w:proofErr w:type="spellEnd"/>
      <w:r w:rsidRPr="007F514D">
        <w:rPr>
          <w:b/>
        </w:rPr>
        <w:t>/MHz SEM (small allocations) region which is also in the adjacent region.</w:t>
      </w:r>
    </w:p>
    <w:p w14:paraId="1584D063" w14:textId="73911B45" w:rsidR="0003797B" w:rsidRPr="007F514D" w:rsidRDefault="0003797B" w:rsidP="007F514D">
      <w:pPr>
        <w:pStyle w:val="ListParagraph"/>
        <w:numPr>
          <w:ilvl w:val="0"/>
          <w:numId w:val="28"/>
        </w:numPr>
        <w:spacing w:after="0"/>
        <w:rPr>
          <w:b/>
        </w:rPr>
      </w:pPr>
      <w:r w:rsidRPr="007F514D">
        <w:rPr>
          <w:b/>
        </w:rPr>
        <w:t xml:space="preserve">Difference in back-off between inner and outer comes from the fact that IM3 falls in adjacent region for </w:t>
      </w:r>
      <w:r w:rsidR="00D65EB1">
        <w:rPr>
          <w:b/>
        </w:rPr>
        <w:t>outer allocations while its IM5</w:t>
      </w:r>
      <w:r w:rsidRPr="007F514D">
        <w:rPr>
          <w:b/>
        </w:rPr>
        <w:t xml:space="preserve"> for inner allocations</w:t>
      </w:r>
    </w:p>
    <w:p w14:paraId="74FEDD16" w14:textId="6A9E4ABA" w:rsidR="0003797B" w:rsidRPr="007F514D" w:rsidRDefault="0003797B" w:rsidP="007F514D">
      <w:pPr>
        <w:pStyle w:val="ListParagraph"/>
        <w:numPr>
          <w:ilvl w:val="0"/>
          <w:numId w:val="28"/>
        </w:numPr>
        <w:spacing w:after="0"/>
        <w:rPr>
          <w:b/>
        </w:rPr>
      </w:pPr>
      <w:r w:rsidRPr="007F514D">
        <w:rPr>
          <w:b/>
        </w:rPr>
        <w:t>Most inner or marginally outer allocation for DFT-s-OFDM are not limited by SEM or ACLR (b</w:t>
      </w:r>
      <w:r w:rsidR="00D65EB1">
        <w:rPr>
          <w:b/>
        </w:rPr>
        <w:t>u</w:t>
      </w:r>
      <w:r w:rsidRPr="007F514D">
        <w:rPr>
          <w:b/>
        </w:rPr>
        <w:t>t possibly by in-band requirements)</w:t>
      </w:r>
    </w:p>
    <w:p w14:paraId="013C21D1" w14:textId="2A38AF12" w:rsidR="0003797B" w:rsidRPr="007F514D" w:rsidRDefault="0003797B" w:rsidP="007F514D">
      <w:pPr>
        <w:pStyle w:val="ListParagraph"/>
        <w:numPr>
          <w:ilvl w:val="0"/>
          <w:numId w:val="30"/>
        </w:numPr>
        <w:spacing w:after="0"/>
        <w:rPr>
          <w:b/>
        </w:rPr>
      </w:pPr>
      <w:r w:rsidRPr="007F514D">
        <w:rPr>
          <w:b/>
        </w:rPr>
        <w:t>This is also the case for best case CP-OFDM and DFT-s-OFDM inner allocations which do not have even IM5 falling outside the CCs</w:t>
      </w:r>
    </w:p>
    <w:p w14:paraId="1CAFA552" w14:textId="31986438" w:rsidR="0003797B" w:rsidRPr="007F514D" w:rsidRDefault="0003797B" w:rsidP="007F514D">
      <w:pPr>
        <w:pStyle w:val="ListParagraph"/>
        <w:numPr>
          <w:ilvl w:val="0"/>
          <w:numId w:val="30"/>
        </w:numPr>
        <w:spacing w:after="0"/>
        <w:rPr>
          <w:b/>
        </w:rPr>
      </w:pPr>
      <w:r w:rsidRPr="007F514D">
        <w:rPr>
          <w:b/>
        </w:rPr>
        <w:t>The behavior is consistent across all CC configurations</w:t>
      </w:r>
    </w:p>
    <w:p w14:paraId="34B6C80B" w14:textId="77777777" w:rsidR="007F514D" w:rsidRDefault="007F514D" w:rsidP="0003797B"/>
    <w:p w14:paraId="52618BDA" w14:textId="55A5B6C2" w:rsidR="007F514D" w:rsidRDefault="007F514D" w:rsidP="0003797B">
      <w:r>
        <w:t>With more time, using IMD3 and IMD5 results of the measurement set, an initial assessment could also be provided for the non-contiguous UL CA case. If time allows</w:t>
      </w:r>
      <w:r w:rsidR="00D65EB1">
        <w:t>,</w:t>
      </w:r>
      <w:r>
        <w:t xml:space="preserve"> this may be provided in a revision of this document after the deadline for information.</w:t>
      </w:r>
    </w:p>
    <w:p w14:paraId="3E49732A" w14:textId="1B02801B" w:rsidR="007F514D" w:rsidRPr="006D3843" w:rsidRDefault="007F514D" w:rsidP="0003797B">
      <w:pPr>
        <w:rPr>
          <w:b/>
        </w:rPr>
      </w:pPr>
      <w:r>
        <w:t>As discussed</w:t>
      </w:r>
      <w:r w:rsidR="00D65EB1">
        <w:t>,</w:t>
      </w:r>
      <w:r>
        <w:t xml:space="preserve"> it is too early to provide targets but the following proposal should help </w:t>
      </w:r>
      <w:r w:rsidR="00D65EB1">
        <w:t>to focus</w:t>
      </w:r>
      <w:r>
        <w:t xml:space="preserve"> the work and provide comparable results</w:t>
      </w:r>
      <w:r w:rsidR="006D3843">
        <w:t xml:space="preserve"> for measurements and </w:t>
      </w:r>
      <w:r w:rsidR="006D3843" w:rsidRPr="00D65EB1">
        <w:t>simulations, allowing contributions from more companies.</w:t>
      </w:r>
    </w:p>
    <w:p w14:paraId="3FFE592C" w14:textId="01D06D37" w:rsidR="007F514D" w:rsidRPr="003C7320" w:rsidRDefault="003A7307" w:rsidP="0008501B">
      <w:pPr>
        <w:tabs>
          <w:tab w:val="left" w:pos="5103"/>
        </w:tabs>
        <w:spacing w:after="0"/>
        <w:jc w:val="both"/>
        <w:rPr>
          <w:b/>
        </w:rPr>
      </w:pPr>
      <w:r>
        <w:rPr>
          <w:b/>
        </w:rPr>
        <w:t>Proposal</w:t>
      </w:r>
      <w:r w:rsidR="00A83CDD">
        <w:rPr>
          <w:b/>
        </w:rPr>
        <w:t xml:space="preserve"> for </w:t>
      </w:r>
      <w:r w:rsidR="00A34DC3">
        <w:rPr>
          <w:b/>
        </w:rPr>
        <w:t>c</w:t>
      </w:r>
      <w:r w:rsidR="00A83CDD">
        <w:rPr>
          <w:b/>
        </w:rPr>
        <w:t>ontiguous</w:t>
      </w:r>
      <w:r w:rsidR="007F514D">
        <w:rPr>
          <w:b/>
        </w:rPr>
        <w:t xml:space="preserve"> and non-contiguous</w:t>
      </w:r>
      <w:r w:rsidR="00A83CDD">
        <w:rPr>
          <w:b/>
        </w:rPr>
        <w:t xml:space="preserve"> </w:t>
      </w:r>
      <w:r w:rsidR="00A34DC3">
        <w:rPr>
          <w:b/>
        </w:rPr>
        <w:t xml:space="preserve">NR </w:t>
      </w:r>
      <w:r w:rsidR="00A83CDD">
        <w:rPr>
          <w:b/>
        </w:rPr>
        <w:t xml:space="preserve">UL </w:t>
      </w:r>
      <w:r w:rsidR="00A34DC3">
        <w:rPr>
          <w:b/>
        </w:rPr>
        <w:t>CA MPR evaluation</w:t>
      </w:r>
      <w:r w:rsidR="006D3843">
        <w:rPr>
          <w:b/>
        </w:rPr>
        <w:t xml:space="preserve"> based on measurements or simulations:</w:t>
      </w:r>
    </w:p>
    <w:p w14:paraId="4162BEB6" w14:textId="33892144" w:rsidR="007F514D" w:rsidRDefault="007F514D" w:rsidP="00A83CDD">
      <w:pPr>
        <w:pStyle w:val="ListParagraph"/>
        <w:numPr>
          <w:ilvl w:val="0"/>
          <w:numId w:val="11"/>
        </w:numPr>
        <w:rPr>
          <w:b/>
        </w:rPr>
      </w:pPr>
      <w:r>
        <w:rPr>
          <w:b/>
        </w:rPr>
        <w:t>Inner and outer allocations (as in [2]) are evaluated for different MPR (at least for QPSK and 16QAM)</w:t>
      </w:r>
    </w:p>
    <w:p w14:paraId="78E66F7D" w14:textId="2ECE0D17" w:rsidR="007F514D" w:rsidRPr="007F514D" w:rsidRDefault="007F514D" w:rsidP="00A83CDD">
      <w:pPr>
        <w:pStyle w:val="ListParagraph"/>
        <w:numPr>
          <w:ilvl w:val="0"/>
          <w:numId w:val="11"/>
        </w:numPr>
        <w:rPr>
          <w:b/>
        </w:rPr>
      </w:pPr>
      <w:r>
        <w:rPr>
          <w:b/>
        </w:rPr>
        <w:t>Different MPR values can be assessed for CP-OFDM and DFT-s-OFDM waveforms</w:t>
      </w:r>
    </w:p>
    <w:p w14:paraId="0E7C307B" w14:textId="49F95610" w:rsidR="00A83CDD" w:rsidRPr="007F514D" w:rsidRDefault="007F514D" w:rsidP="00A83CDD">
      <w:pPr>
        <w:pStyle w:val="ListParagraph"/>
        <w:numPr>
          <w:ilvl w:val="0"/>
          <w:numId w:val="11"/>
        </w:numPr>
        <w:rPr>
          <w:b/>
        </w:rPr>
      </w:pPr>
      <w:r>
        <w:rPr>
          <w:b/>
          <w:lang w:val="en-CA"/>
        </w:rPr>
        <w:t>To finalize inner allocation assessment</w:t>
      </w:r>
      <w:r w:rsidR="00D65EB1">
        <w:rPr>
          <w:b/>
          <w:lang w:val="en-CA"/>
        </w:rPr>
        <w:t>,</w:t>
      </w:r>
      <w:r>
        <w:rPr>
          <w:b/>
          <w:lang w:val="en-CA"/>
        </w:rPr>
        <w:t xml:space="preserve"> the need for in</w:t>
      </w:r>
      <w:r w:rsidR="00A83CDD">
        <w:rPr>
          <w:b/>
          <w:lang w:val="en-CA"/>
        </w:rPr>
        <w:t xml:space="preserve"> band</w:t>
      </w:r>
      <w:r>
        <w:rPr>
          <w:b/>
          <w:lang w:val="en-CA"/>
        </w:rPr>
        <w:t>-</w:t>
      </w:r>
      <w:r w:rsidR="00A83CDD">
        <w:rPr>
          <w:b/>
          <w:lang w:val="en-CA"/>
        </w:rPr>
        <w:t xml:space="preserve">emissions </w:t>
      </w:r>
      <w:r>
        <w:rPr>
          <w:b/>
          <w:lang w:val="en-CA"/>
        </w:rPr>
        <w:t>and EVM requirements in 2CC configuration must be decided</w:t>
      </w:r>
    </w:p>
    <w:p w14:paraId="31D8E799" w14:textId="6749403F" w:rsidR="007F514D" w:rsidRPr="004063AE" w:rsidRDefault="007F514D" w:rsidP="00A83CDD">
      <w:pPr>
        <w:pStyle w:val="ListParagraph"/>
        <w:numPr>
          <w:ilvl w:val="0"/>
          <w:numId w:val="11"/>
        </w:numPr>
        <w:rPr>
          <w:b/>
        </w:rPr>
      </w:pPr>
      <w:r>
        <w:rPr>
          <w:b/>
          <w:lang w:val="en-CA"/>
        </w:rPr>
        <w:t>Priority is to settle MPR for QPSK and 16QAM and contiguous UL CA case</w:t>
      </w:r>
    </w:p>
    <w:p w14:paraId="7017E493" w14:textId="13EF9F3E" w:rsidR="004063AE" w:rsidRDefault="004063AE" w:rsidP="004063AE">
      <w:pPr>
        <w:pStyle w:val="Heading2"/>
        <w:spacing w:after="240"/>
        <w:rPr>
          <w:sz w:val="36"/>
          <w:lang w:val="en-US"/>
        </w:rPr>
      </w:pPr>
      <w:r>
        <w:rPr>
          <w:sz w:val="36"/>
          <w:lang w:val="en-US"/>
        </w:rPr>
        <w:lastRenderedPageBreak/>
        <w:t>Worst case for NS04 and NS27</w:t>
      </w:r>
    </w:p>
    <w:p w14:paraId="5EDE7BB9" w14:textId="7D677DDF" w:rsidR="00234EE9" w:rsidRDefault="00234EE9" w:rsidP="004063AE">
      <w:r>
        <w:t>Although a complete analysis would be needed to set AMPR requirements for NS04 and NS27 (including using a 3.5</w:t>
      </w:r>
      <w:r w:rsidR="00D65EB1">
        <w:t xml:space="preserve"> </w:t>
      </w:r>
      <w:r>
        <w:t>GHz PA) some worst case data can be extracted from the measurements, especially relating to the strict OOB requirements for band n41 and n48.</w:t>
      </w:r>
    </w:p>
    <w:p w14:paraId="7F9966F8" w14:textId="11E9F858" w:rsidR="004063AE" w:rsidRDefault="004063AE" w:rsidP="004063AE">
      <w:r>
        <w:t>For NS04 n41C UL CA, for contiguous CCs at the band edge, IMD3 products will have to comply with OOB emissions of -13</w:t>
      </w:r>
      <w:r w:rsidR="00D65EB1">
        <w:t xml:space="preserve"> </w:t>
      </w:r>
      <w:proofErr w:type="spellStart"/>
      <w:r>
        <w:t>dBm</w:t>
      </w:r>
      <w:proofErr w:type="spellEnd"/>
      <w:r>
        <w:t>/MHz (equivalen</w:t>
      </w:r>
      <w:r w:rsidR="0029481B">
        <w:t>t to -1</w:t>
      </w:r>
      <w:r w:rsidR="00D65EB1">
        <w:t xml:space="preserve"> </w:t>
      </w:r>
      <w:r w:rsidR="0029481B">
        <w:t xml:space="preserve">3dBm/MHz NS01 SEM cases), </w:t>
      </w:r>
      <w:r>
        <w:t>but also wil</w:t>
      </w:r>
      <w:r w:rsidR="0029481B">
        <w:t>l need to meet up to -25</w:t>
      </w:r>
      <w:r w:rsidR="00D65EB1">
        <w:t xml:space="preserve"> </w:t>
      </w:r>
      <w:proofErr w:type="spellStart"/>
      <w:r w:rsidR="0029481B">
        <w:t>dBm</w:t>
      </w:r>
      <w:proofErr w:type="spellEnd"/>
      <w:r w:rsidR="0029481B">
        <w:t>/MHz, this will also apply to IMD5 for inner allocations</w:t>
      </w:r>
    </w:p>
    <w:p w14:paraId="6EC765A0" w14:textId="18B17753" w:rsidR="0029481B" w:rsidRPr="003C7320" w:rsidRDefault="0029481B" w:rsidP="0029481B">
      <w:pPr>
        <w:tabs>
          <w:tab w:val="left" w:pos="5103"/>
        </w:tabs>
        <w:spacing w:after="0"/>
        <w:jc w:val="both"/>
        <w:rPr>
          <w:b/>
        </w:rPr>
      </w:pPr>
      <w:r w:rsidRPr="0029481B">
        <w:rPr>
          <w:b/>
        </w:rPr>
        <w:t xml:space="preserve">The worst back-off data for OOB NS04 based on current </w:t>
      </w:r>
      <w:r>
        <w:rPr>
          <w:b/>
        </w:rPr>
        <w:t>evaluation</w:t>
      </w:r>
      <w:r w:rsidRPr="003C7320">
        <w:rPr>
          <w:b/>
        </w:rPr>
        <w:t>:</w:t>
      </w:r>
    </w:p>
    <w:p w14:paraId="6B3B7208" w14:textId="5661517F" w:rsidR="0029481B" w:rsidRDefault="0029481B" w:rsidP="0029481B">
      <w:pPr>
        <w:pStyle w:val="ListParagraph"/>
        <w:numPr>
          <w:ilvl w:val="0"/>
          <w:numId w:val="11"/>
        </w:numPr>
        <w:rPr>
          <w:b/>
        </w:rPr>
      </w:pPr>
      <w:r>
        <w:rPr>
          <w:b/>
        </w:rPr>
        <w:t>For -13</w:t>
      </w:r>
      <w:r w:rsidR="00D65EB1">
        <w:rPr>
          <w:b/>
        </w:rPr>
        <w:t xml:space="preserve"> </w:t>
      </w:r>
      <w:proofErr w:type="spellStart"/>
      <w:r>
        <w:rPr>
          <w:b/>
        </w:rPr>
        <w:t>dBm</w:t>
      </w:r>
      <w:proofErr w:type="spellEnd"/>
      <w:r>
        <w:rPr>
          <w:b/>
        </w:rPr>
        <w:t xml:space="preserve">/MHz IM3 (outer case): </w:t>
      </w:r>
      <w:r w:rsidR="00504F5B">
        <w:rPr>
          <w:b/>
        </w:rPr>
        <w:t>&gt; 6</w:t>
      </w:r>
      <w:r w:rsidR="00D65EB1">
        <w:rPr>
          <w:b/>
        </w:rPr>
        <w:t xml:space="preserve"> </w:t>
      </w:r>
      <w:r w:rsidR="00504F5B">
        <w:rPr>
          <w:b/>
        </w:rPr>
        <w:t>dB for CP-OFDM, &gt; 5</w:t>
      </w:r>
      <w:r w:rsidR="00D65EB1">
        <w:rPr>
          <w:b/>
        </w:rPr>
        <w:t xml:space="preserve"> </w:t>
      </w:r>
      <w:r w:rsidR="00504F5B">
        <w:rPr>
          <w:b/>
        </w:rPr>
        <w:t>dB for DFT-s-OFDM</w:t>
      </w:r>
    </w:p>
    <w:p w14:paraId="63C6557D" w14:textId="7DC65BF3" w:rsidR="0029481B" w:rsidRDefault="0029481B" w:rsidP="0029481B">
      <w:pPr>
        <w:pStyle w:val="ListParagraph"/>
        <w:numPr>
          <w:ilvl w:val="0"/>
          <w:numId w:val="11"/>
        </w:numPr>
        <w:rPr>
          <w:b/>
        </w:rPr>
      </w:pPr>
      <w:r>
        <w:rPr>
          <w:b/>
        </w:rPr>
        <w:t>&gt; 6</w:t>
      </w:r>
      <w:r w:rsidR="00D65EB1">
        <w:rPr>
          <w:b/>
        </w:rPr>
        <w:t xml:space="preserve"> </w:t>
      </w:r>
      <w:r>
        <w:rPr>
          <w:b/>
        </w:rPr>
        <w:t>dB for -25</w:t>
      </w:r>
      <w:r w:rsidR="00D65EB1">
        <w:rPr>
          <w:b/>
        </w:rPr>
        <w:t xml:space="preserve"> </w:t>
      </w:r>
      <w:proofErr w:type="spellStart"/>
      <w:r>
        <w:rPr>
          <w:b/>
        </w:rPr>
        <w:t>dBm</w:t>
      </w:r>
      <w:proofErr w:type="spellEnd"/>
      <w:r>
        <w:rPr>
          <w:b/>
        </w:rPr>
        <w:t>/MHz IM3 (outer case)</w:t>
      </w:r>
      <w:r w:rsidR="00504F5B">
        <w:rPr>
          <w:b/>
        </w:rPr>
        <w:t>: &gt; 10</w:t>
      </w:r>
      <w:r w:rsidR="00D65EB1">
        <w:rPr>
          <w:b/>
        </w:rPr>
        <w:t xml:space="preserve"> </w:t>
      </w:r>
      <w:r w:rsidR="00504F5B">
        <w:rPr>
          <w:b/>
        </w:rPr>
        <w:t>dB for CP-OFDM, &gt; 8.5</w:t>
      </w:r>
      <w:r w:rsidR="00D65EB1">
        <w:rPr>
          <w:b/>
        </w:rPr>
        <w:t xml:space="preserve"> </w:t>
      </w:r>
      <w:r w:rsidR="00504F5B">
        <w:rPr>
          <w:b/>
        </w:rPr>
        <w:t>dB for DFT-s-OFDM</w:t>
      </w:r>
    </w:p>
    <w:p w14:paraId="47F98EFF" w14:textId="286E9B08" w:rsidR="0029481B" w:rsidRPr="00234EE9" w:rsidRDefault="0029481B" w:rsidP="00234EE9">
      <w:pPr>
        <w:pStyle w:val="ListParagraph"/>
        <w:numPr>
          <w:ilvl w:val="0"/>
          <w:numId w:val="11"/>
        </w:numPr>
        <w:rPr>
          <w:b/>
        </w:rPr>
      </w:pPr>
      <w:r>
        <w:rPr>
          <w:b/>
        </w:rPr>
        <w:t>&gt; 6</w:t>
      </w:r>
      <w:r w:rsidR="00D65EB1">
        <w:rPr>
          <w:b/>
        </w:rPr>
        <w:t xml:space="preserve"> </w:t>
      </w:r>
      <w:r>
        <w:rPr>
          <w:b/>
        </w:rPr>
        <w:t>dB for -25</w:t>
      </w:r>
      <w:r w:rsidR="00D65EB1">
        <w:rPr>
          <w:b/>
        </w:rPr>
        <w:t xml:space="preserve"> </w:t>
      </w:r>
      <w:proofErr w:type="spellStart"/>
      <w:r>
        <w:rPr>
          <w:b/>
        </w:rPr>
        <w:t>dBm</w:t>
      </w:r>
      <w:proofErr w:type="spellEnd"/>
      <w:r>
        <w:rPr>
          <w:b/>
        </w:rPr>
        <w:t>/MHz IM5 (inner case)</w:t>
      </w:r>
      <w:r w:rsidR="00504F5B">
        <w:rPr>
          <w:b/>
        </w:rPr>
        <w:t xml:space="preserve">: </w:t>
      </w:r>
      <w:r w:rsidR="00234EE9">
        <w:rPr>
          <w:b/>
        </w:rPr>
        <w:t>&gt; 5.5</w:t>
      </w:r>
      <w:r w:rsidR="00D65EB1">
        <w:rPr>
          <w:b/>
        </w:rPr>
        <w:t xml:space="preserve"> </w:t>
      </w:r>
      <w:r w:rsidR="00234EE9">
        <w:rPr>
          <w:b/>
        </w:rPr>
        <w:t>dB for CP-OFDM, &gt; 5</w:t>
      </w:r>
      <w:r w:rsidR="00D65EB1">
        <w:rPr>
          <w:b/>
        </w:rPr>
        <w:t xml:space="preserve"> </w:t>
      </w:r>
      <w:r w:rsidR="00234EE9">
        <w:rPr>
          <w:b/>
        </w:rPr>
        <w:t>dB for DFT-s-OFDM</w:t>
      </w:r>
    </w:p>
    <w:p w14:paraId="46A12670" w14:textId="363E5C0C" w:rsidR="00504F5B" w:rsidRDefault="00504F5B" w:rsidP="00504F5B">
      <w:r>
        <w:t xml:space="preserve">For NS27 n48C UL CA, for contiguous CCs at the band edge, IMD3 to IMD7 products will have to comply with OOB emissions </w:t>
      </w:r>
      <w:proofErr w:type="gramStart"/>
      <w:r>
        <w:t>of -40</w:t>
      </w:r>
      <w:r w:rsidR="00D65EB1">
        <w:t xml:space="preserve"> </w:t>
      </w:r>
      <w:proofErr w:type="spellStart"/>
      <w:r>
        <w:t>dBm</w:t>
      </w:r>
      <w:proofErr w:type="spellEnd"/>
      <w:r>
        <w:t>/</w:t>
      </w:r>
      <w:proofErr w:type="spellStart"/>
      <w:r>
        <w:t>MHz</w:t>
      </w:r>
      <w:proofErr w:type="gramEnd"/>
      <w:r>
        <w:t>.</w:t>
      </w:r>
      <w:proofErr w:type="spellEnd"/>
    </w:p>
    <w:p w14:paraId="336007D2" w14:textId="0707BD72" w:rsidR="0029481B" w:rsidRPr="003C7320" w:rsidRDefault="0029481B" w:rsidP="0029481B">
      <w:pPr>
        <w:tabs>
          <w:tab w:val="left" w:pos="5103"/>
        </w:tabs>
        <w:spacing w:after="0"/>
        <w:jc w:val="both"/>
        <w:rPr>
          <w:b/>
        </w:rPr>
      </w:pPr>
      <w:r w:rsidRPr="0029481B">
        <w:rPr>
          <w:b/>
        </w:rPr>
        <w:t xml:space="preserve">The worst back-off data for OOB NS04 based on current </w:t>
      </w:r>
      <w:r>
        <w:rPr>
          <w:b/>
        </w:rPr>
        <w:t>evaluation</w:t>
      </w:r>
      <w:r w:rsidR="00D65EB1">
        <w:rPr>
          <w:b/>
        </w:rPr>
        <w:t xml:space="preserve"> which did not use large enough dynamic range to reach -40 </w:t>
      </w:r>
      <w:proofErr w:type="spellStart"/>
      <w:r w:rsidR="00D65EB1">
        <w:rPr>
          <w:b/>
        </w:rPr>
        <w:t>dBm</w:t>
      </w:r>
      <w:proofErr w:type="spellEnd"/>
      <w:r w:rsidR="00D65EB1">
        <w:rPr>
          <w:b/>
        </w:rPr>
        <w:t>/MHz for IM3, in this case, the IMD level at largest back-off is provided instead of back-o</w:t>
      </w:r>
      <w:r w:rsidR="000552D3">
        <w:rPr>
          <w:b/>
        </w:rPr>
        <w:t>ff value</w:t>
      </w:r>
      <w:r w:rsidRPr="003C7320">
        <w:rPr>
          <w:b/>
        </w:rPr>
        <w:t>:</w:t>
      </w:r>
    </w:p>
    <w:p w14:paraId="0618C022" w14:textId="5CE23474" w:rsidR="0029481B" w:rsidRDefault="00504F5B" w:rsidP="0029481B">
      <w:pPr>
        <w:pStyle w:val="ListParagraph"/>
        <w:numPr>
          <w:ilvl w:val="0"/>
          <w:numId w:val="11"/>
        </w:numPr>
        <w:rPr>
          <w:b/>
        </w:rPr>
      </w:pPr>
      <w:r>
        <w:rPr>
          <w:b/>
        </w:rPr>
        <w:t>For -40</w:t>
      </w:r>
      <w:r w:rsidR="00D65EB1">
        <w:rPr>
          <w:b/>
        </w:rPr>
        <w:t xml:space="preserve"> </w:t>
      </w:r>
      <w:proofErr w:type="spellStart"/>
      <w:r w:rsidR="0029481B">
        <w:rPr>
          <w:b/>
        </w:rPr>
        <w:t>dBm</w:t>
      </w:r>
      <w:proofErr w:type="spellEnd"/>
      <w:r w:rsidR="0029481B">
        <w:rPr>
          <w:b/>
        </w:rPr>
        <w:t>/MHz IM3 (outer case)</w:t>
      </w:r>
      <w:r w:rsidR="00234EE9" w:rsidRPr="00234EE9">
        <w:rPr>
          <w:b/>
        </w:rPr>
        <w:t xml:space="preserve"> </w:t>
      </w:r>
      <w:r w:rsidR="00234EE9">
        <w:rPr>
          <w:b/>
        </w:rPr>
        <w:t>: -30</w:t>
      </w:r>
      <w:r w:rsidR="00D65EB1">
        <w:rPr>
          <w:b/>
        </w:rPr>
        <w:t xml:space="preserve"> </w:t>
      </w:r>
      <w:proofErr w:type="spellStart"/>
      <w:r w:rsidR="00234EE9">
        <w:rPr>
          <w:b/>
        </w:rPr>
        <w:t>dBm</w:t>
      </w:r>
      <w:proofErr w:type="spellEnd"/>
      <w:r w:rsidR="00234EE9">
        <w:rPr>
          <w:b/>
        </w:rPr>
        <w:t>/MHz at 11</w:t>
      </w:r>
      <w:r w:rsidR="00D65EB1">
        <w:rPr>
          <w:b/>
        </w:rPr>
        <w:t xml:space="preserve"> </w:t>
      </w:r>
      <w:r w:rsidR="00234EE9">
        <w:rPr>
          <w:b/>
        </w:rPr>
        <w:t>dB back-off for CP-OFDM, -32</w:t>
      </w:r>
      <w:r w:rsidR="00D65EB1">
        <w:rPr>
          <w:b/>
        </w:rPr>
        <w:t xml:space="preserve"> </w:t>
      </w:r>
      <w:proofErr w:type="spellStart"/>
      <w:r w:rsidR="00234EE9">
        <w:rPr>
          <w:b/>
        </w:rPr>
        <w:t>dBm</w:t>
      </w:r>
      <w:proofErr w:type="spellEnd"/>
      <w:r w:rsidR="00234EE9">
        <w:rPr>
          <w:b/>
        </w:rPr>
        <w:t>/MHz at 11</w:t>
      </w:r>
      <w:r w:rsidR="00D65EB1">
        <w:rPr>
          <w:b/>
        </w:rPr>
        <w:t xml:space="preserve"> </w:t>
      </w:r>
      <w:r w:rsidR="00234EE9">
        <w:rPr>
          <w:b/>
        </w:rPr>
        <w:t>dB back-off for DFT-s-OFDM</w:t>
      </w:r>
    </w:p>
    <w:p w14:paraId="7E8F9EB5" w14:textId="6D032E83" w:rsidR="0029481B" w:rsidRDefault="00504F5B" w:rsidP="0029481B">
      <w:pPr>
        <w:pStyle w:val="ListParagraph"/>
        <w:numPr>
          <w:ilvl w:val="0"/>
          <w:numId w:val="11"/>
        </w:numPr>
        <w:rPr>
          <w:b/>
        </w:rPr>
      </w:pPr>
      <w:r>
        <w:rPr>
          <w:b/>
        </w:rPr>
        <w:t xml:space="preserve">For </w:t>
      </w:r>
      <w:r w:rsidR="0029481B">
        <w:rPr>
          <w:b/>
        </w:rPr>
        <w:t>-</w:t>
      </w:r>
      <w:r>
        <w:rPr>
          <w:b/>
        </w:rPr>
        <w:t>40</w:t>
      </w:r>
      <w:r w:rsidR="0029481B">
        <w:rPr>
          <w:b/>
        </w:rPr>
        <w:t>dBm/MHz IM</w:t>
      </w:r>
      <w:r>
        <w:rPr>
          <w:b/>
        </w:rPr>
        <w:t>5</w:t>
      </w:r>
      <w:r w:rsidR="00234EE9">
        <w:rPr>
          <w:b/>
        </w:rPr>
        <w:t>: &gt; 10</w:t>
      </w:r>
      <w:r w:rsidR="00D65EB1">
        <w:rPr>
          <w:b/>
        </w:rPr>
        <w:t xml:space="preserve"> </w:t>
      </w:r>
      <w:r w:rsidR="00234EE9">
        <w:rPr>
          <w:b/>
        </w:rPr>
        <w:t>dB for CP-OFDM, &gt; 8.5dB for DFT-s-OFDM</w:t>
      </w:r>
    </w:p>
    <w:p w14:paraId="073BF7F8" w14:textId="2E1C58C5" w:rsidR="0029481B" w:rsidRPr="00234EE9" w:rsidRDefault="00504F5B" w:rsidP="0029481B">
      <w:pPr>
        <w:pStyle w:val="ListParagraph"/>
        <w:numPr>
          <w:ilvl w:val="0"/>
          <w:numId w:val="11"/>
        </w:numPr>
        <w:rPr>
          <w:b/>
        </w:rPr>
      </w:pPr>
      <w:r>
        <w:rPr>
          <w:b/>
        </w:rPr>
        <w:t xml:space="preserve">For </w:t>
      </w:r>
      <w:r w:rsidR="0029481B">
        <w:rPr>
          <w:b/>
        </w:rPr>
        <w:t>-</w:t>
      </w:r>
      <w:r>
        <w:rPr>
          <w:b/>
        </w:rPr>
        <w:t>40</w:t>
      </w:r>
      <w:r w:rsidR="0029481B">
        <w:rPr>
          <w:b/>
        </w:rPr>
        <w:t>dBm/MHz IM</w:t>
      </w:r>
      <w:r>
        <w:rPr>
          <w:b/>
        </w:rPr>
        <w:t>7</w:t>
      </w:r>
      <w:r w:rsidR="00234EE9">
        <w:rPr>
          <w:b/>
        </w:rPr>
        <w:t>: &gt; 8</w:t>
      </w:r>
      <w:r w:rsidR="00D65EB1">
        <w:rPr>
          <w:b/>
        </w:rPr>
        <w:t xml:space="preserve"> </w:t>
      </w:r>
      <w:r w:rsidR="00234EE9">
        <w:rPr>
          <w:b/>
        </w:rPr>
        <w:t>dB for CP-OFDM, &gt; 6dB for DFT-s-OFDM</w:t>
      </w:r>
    </w:p>
    <w:p w14:paraId="12CE9BEA" w14:textId="77777777" w:rsidR="00A645E7" w:rsidRDefault="00A645E7" w:rsidP="00D269D7">
      <w:pPr>
        <w:pStyle w:val="Heading1"/>
      </w:pPr>
      <w:r>
        <w:t>Conclusions</w:t>
      </w:r>
    </w:p>
    <w:p w14:paraId="1669176C" w14:textId="18675162" w:rsidR="0026504E" w:rsidRDefault="006418C7" w:rsidP="002E7BD8">
      <w:pPr>
        <w:spacing w:after="0"/>
        <w:jc w:val="both"/>
      </w:pPr>
      <w:r>
        <w:t>In this contribution</w:t>
      </w:r>
      <w:r w:rsidR="00596F26">
        <w:t xml:space="preserve"> </w:t>
      </w:r>
      <w:r w:rsidR="005D0F9B">
        <w:t xml:space="preserve">we </w:t>
      </w:r>
      <w:r w:rsidR="005C476D">
        <w:t xml:space="preserve">provide an initial set of back-off measurements using requirements and assumption proposed in [1] and inner/outer allocation definitions from [2]. Assuming those can be agreed, we make the further proposals below as a way forward to structure the RAN4 work on NR UL CA for </w:t>
      </w:r>
      <w:r w:rsidR="000552D3">
        <w:t>R</w:t>
      </w:r>
      <w:r w:rsidR="005C476D">
        <w:t>elease 16.</w:t>
      </w:r>
    </w:p>
    <w:p w14:paraId="2EBE14AD" w14:textId="77777777" w:rsidR="00EE3FD8" w:rsidRDefault="00EE3FD8" w:rsidP="002E7BD8">
      <w:pPr>
        <w:spacing w:after="0"/>
        <w:jc w:val="both"/>
      </w:pPr>
    </w:p>
    <w:p w14:paraId="1ECC0302" w14:textId="77777777" w:rsidR="000552D3" w:rsidRPr="003C7320" w:rsidRDefault="000552D3" w:rsidP="000552D3">
      <w:pPr>
        <w:tabs>
          <w:tab w:val="left" w:pos="5103"/>
        </w:tabs>
        <w:spacing w:after="0"/>
        <w:jc w:val="both"/>
        <w:rPr>
          <w:b/>
        </w:rPr>
      </w:pPr>
      <w:r>
        <w:rPr>
          <w:b/>
        </w:rPr>
        <w:t>Proposal for contiguous and non-contiguous NR UL CA MPR evaluation based on measurements or simulations:</w:t>
      </w:r>
    </w:p>
    <w:p w14:paraId="139C1D6D" w14:textId="77777777" w:rsidR="000552D3" w:rsidRDefault="000552D3" w:rsidP="000552D3">
      <w:pPr>
        <w:pStyle w:val="ListParagraph"/>
        <w:numPr>
          <w:ilvl w:val="0"/>
          <w:numId w:val="11"/>
        </w:numPr>
        <w:rPr>
          <w:b/>
        </w:rPr>
      </w:pPr>
      <w:r>
        <w:rPr>
          <w:b/>
        </w:rPr>
        <w:t>Inner and outer allocations (as in [2]) are evaluated for different MPR (at least for QPSK and 16QAM)</w:t>
      </w:r>
    </w:p>
    <w:p w14:paraId="67218CD4" w14:textId="77777777" w:rsidR="000552D3" w:rsidRPr="007F514D" w:rsidRDefault="000552D3" w:rsidP="000552D3">
      <w:pPr>
        <w:pStyle w:val="ListParagraph"/>
        <w:numPr>
          <w:ilvl w:val="0"/>
          <w:numId w:val="11"/>
        </w:numPr>
        <w:rPr>
          <w:b/>
        </w:rPr>
      </w:pPr>
      <w:r>
        <w:rPr>
          <w:b/>
        </w:rPr>
        <w:t>Different MPR values can be assessed for CP-OFDM and DFT-s-OFDM waveforms</w:t>
      </w:r>
    </w:p>
    <w:p w14:paraId="0D247DA1" w14:textId="77777777" w:rsidR="000552D3" w:rsidRPr="007F514D" w:rsidRDefault="000552D3" w:rsidP="000552D3">
      <w:pPr>
        <w:pStyle w:val="ListParagraph"/>
        <w:numPr>
          <w:ilvl w:val="0"/>
          <w:numId w:val="11"/>
        </w:numPr>
        <w:rPr>
          <w:b/>
        </w:rPr>
      </w:pPr>
      <w:r>
        <w:rPr>
          <w:b/>
          <w:lang w:val="en-CA"/>
        </w:rPr>
        <w:t>To finalize inner allocation assessment, the need for in band-emissions and EVM requirements in 2CC configuration must be decided</w:t>
      </w:r>
    </w:p>
    <w:p w14:paraId="4BF45072" w14:textId="77777777" w:rsidR="000552D3" w:rsidRPr="004063AE" w:rsidRDefault="000552D3" w:rsidP="000552D3">
      <w:pPr>
        <w:pStyle w:val="ListParagraph"/>
        <w:numPr>
          <w:ilvl w:val="0"/>
          <w:numId w:val="11"/>
        </w:numPr>
        <w:rPr>
          <w:b/>
        </w:rPr>
      </w:pPr>
      <w:r>
        <w:rPr>
          <w:b/>
          <w:lang w:val="en-CA"/>
        </w:rPr>
        <w:t>Priority is to settle MPR for QPSK and 16QAM and contiguous UL CA case</w:t>
      </w:r>
    </w:p>
    <w:p w14:paraId="6AE3CF48" w14:textId="5D14C60C" w:rsidR="00504F5B" w:rsidRDefault="00504F5B" w:rsidP="00504F5B">
      <w:r w:rsidRPr="00504F5B">
        <w:t>The following observations are useful for NR intra-band UL CA</w:t>
      </w:r>
      <w:r>
        <w:t xml:space="preserve"> MPR/AMPR studies</w:t>
      </w:r>
      <w:r w:rsidRPr="00504F5B">
        <w:t>.</w:t>
      </w:r>
    </w:p>
    <w:p w14:paraId="440C1D3B" w14:textId="77777777" w:rsidR="00504F5B" w:rsidRPr="003A7307" w:rsidRDefault="00504F5B" w:rsidP="00504F5B">
      <w:pPr>
        <w:spacing w:after="0"/>
        <w:rPr>
          <w:b/>
        </w:rPr>
      </w:pPr>
      <w:r w:rsidRPr="003A7307">
        <w:rPr>
          <w:b/>
        </w:rPr>
        <w:t>Observations</w:t>
      </w:r>
      <w:r>
        <w:rPr>
          <w:b/>
        </w:rPr>
        <w:t>, only relative back-off behavior is important not the absolute values at this time</w:t>
      </w:r>
      <w:r w:rsidRPr="003A7307">
        <w:rPr>
          <w:b/>
        </w:rPr>
        <w:t>:</w:t>
      </w:r>
    </w:p>
    <w:p w14:paraId="1FCA376E" w14:textId="77777777" w:rsidR="00504F5B" w:rsidRDefault="00504F5B" w:rsidP="00504F5B">
      <w:pPr>
        <w:pStyle w:val="ListParagraph"/>
        <w:numPr>
          <w:ilvl w:val="0"/>
          <w:numId w:val="26"/>
        </w:numPr>
        <w:spacing w:after="0"/>
        <w:rPr>
          <w:b/>
        </w:rPr>
      </w:pPr>
      <w:r>
        <w:rPr>
          <w:b/>
        </w:rPr>
        <w:t>CP-OFDM Outer allocations require at least 6.5dB back-off and it should be noted that the largest 100+100MHz bandwidth needs an extra dB back-off</w:t>
      </w:r>
    </w:p>
    <w:p w14:paraId="2BBD317B" w14:textId="77777777" w:rsidR="00504F5B" w:rsidRPr="003A7307" w:rsidRDefault="00504F5B" w:rsidP="00504F5B">
      <w:pPr>
        <w:pStyle w:val="ListParagraph"/>
        <w:numPr>
          <w:ilvl w:val="0"/>
          <w:numId w:val="26"/>
        </w:numPr>
        <w:spacing w:after="0"/>
        <w:rPr>
          <w:b/>
        </w:rPr>
      </w:pPr>
      <w:r w:rsidRPr="003A7307">
        <w:rPr>
          <w:b/>
        </w:rPr>
        <w:t xml:space="preserve">DFT-s-OFDM </w:t>
      </w:r>
      <w:r>
        <w:rPr>
          <w:b/>
        </w:rPr>
        <w:t>o</w:t>
      </w:r>
      <w:r w:rsidRPr="003A7307">
        <w:rPr>
          <w:b/>
        </w:rPr>
        <w:t xml:space="preserve">uter allocations require at least </w:t>
      </w:r>
      <w:r>
        <w:rPr>
          <w:b/>
        </w:rPr>
        <w:t>5dB back-off</w:t>
      </w:r>
    </w:p>
    <w:p w14:paraId="14201035" w14:textId="77777777" w:rsidR="00504F5B" w:rsidRDefault="00504F5B" w:rsidP="00504F5B">
      <w:pPr>
        <w:pStyle w:val="ListParagraph"/>
        <w:numPr>
          <w:ilvl w:val="0"/>
          <w:numId w:val="26"/>
        </w:numPr>
        <w:spacing w:after="0"/>
        <w:rPr>
          <w:b/>
        </w:rPr>
      </w:pPr>
      <w:r>
        <w:rPr>
          <w:b/>
        </w:rPr>
        <w:t>Inner CP-OFDM allocations require up to 2dB back-off</w:t>
      </w:r>
    </w:p>
    <w:p w14:paraId="2D1A7089" w14:textId="77777777" w:rsidR="00504F5B" w:rsidRDefault="00504F5B" w:rsidP="00504F5B">
      <w:pPr>
        <w:pStyle w:val="ListParagraph"/>
        <w:numPr>
          <w:ilvl w:val="0"/>
          <w:numId w:val="26"/>
        </w:numPr>
        <w:spacing w:after="0"/>
        <w:rPr>
          <w:b/>
        </w:rPr>
      </w:pPr>
      <w:r>
        <w:rPr>
          <w:b/>
        </w:rPr>
        <w:t>Inner DFT-s-OFDM allocations needs up to 1.5dB</w:t>
      </w:r>
    </w:p>
    <w:p w14:paraId="6A5C02D8" w14:textId="77777777" w:rsidR="00504F5B" w:rsidRDefault="00504F5B" w:rsidP="00504F5B">
      <w:pPr>
        <w:pStyle w:val="ListParagraph"/>
        <w:numPr>
          <w:ilvl w:val="0"/>
          <w:numId w:val="26"/>
        </w:numPr>
        <w:spacing w:after="0"/>
        <w:rPr>
          <w:b/>
        </w:rPr>
      </w:pPr>
      <w:r>
        <w:rPr>
          <w:b/>
        </w:rPr>
        <w:t>Best inner allocations need no back-off but adding in-band requirements may re-consider this.</w:t>
      </w:r>
    </w:p>
    <w:p w14:paraId="66E618D2" w14:textId="77777777" w:rsidR="00504F5B" w:rsidRDefault="00504F5B" w:rsidP="00504F5B">
      <w:pPr>
        <w:pStyle w:val="ListParagraph"/>
        <w:numPr>
          <w:ilvl w:val="0"/>
          <w:numId w:val="26"/>
        </w:numPr>
        <w:spacing w:after="0"/>
        <w:rPr>
          <w:b/>
        </w:rPr>
      </w:pPr>
      <w:r>
        <w:rPr>
          <w:b/>
        </w:rPr>
        <w:t>There is a lot of inner cases that match an outer case, this is for the outer cases than are just outside the inner region and shows that there is margin in the way the inner region is defined</w:t>
      </w:r>
    </w:p>
    <w:p w14:paraId="470FAEF2" w14:textId="77777777" w:rsidR="00234EE9" w:rsidRDefault="00234EE9" w:rsidP="00234EE9">
      <w:pPr>
        <w:tabs>
          <w:tab w:val="left" w:pos="5103"/>
        </w:tabs>
        <w:spacing w:after="0"/>
        <w:jc w:val="both"/>
        <w:rPr>
          <w:b/>
        </w:rPr>
      </w:pPr>
    </w:p>
    <w:p w14:paraId="703BD0FE" w14:textId="77777777" w:rsidR="00234EE9" w:rsidRPr="003C7320" w:rsidRDefault="00234EE9" w:rsidP="00234EE9">
      <w:pPr>
        <w:tabs>
          <w:tab w:val="left" w:pos="5103"/>
        </w:tabs>
        <w:spacing w:after="0"/>
        <w:jc w:val="both"/>
        <w:rPr>
          <w:b/>
        </w:rPr>
      </w:pPr>
      <w:r w:rsidRPr="0029481B">
        <w:rPr>
          <w:b/>
        </w:rPr>
        <w:t xml:space="preserve">The worst back-off data for OOB NS04 based on current </w:t>
      </w:r>
      <w:r>
        <w:rPr>
          <w:b/>
        </w:rPr>
        <w:t>evaluation</w:t>
      </w:r>
      <w:r w:rsidRPr="003C7320">
        <w:rPr>
          <w:b/>
        </w:rPr>
        <w:t>:</w:t>
      </w:r>
    </w:p>
    <w:p w14:paraId="41CD977C" w14:textId="77777777" w:rsidR="00234EE9" w:rsidRDefault="00234EE9" w:rsidP="00234EE9">
      <w:pPr>
        <w:pStyle w:val="ListParagraph"/>
        <w:numPr>
          <w:ilvl w:val="0"/>
          <w:numId w:val="11"/>
        </w:numPr>
        <w:rPr>
          <w:b/>
        </w:rPr>
      </w:pPr>
      <w:r>
        <w:rPr>
          <w:b/>
        </w:rPr>
        <w:t>For -13dBm/MHz IM3 (outer case): &gt; 6dB for CP-OFDM, &gt; 5dB for DFT-s-OFDM</w:t>
      </w:r>
    </w:p>
    <w:p w14:paraId="07394997" w14:textId="77777777" w:rsidR="00234EE9" w:rsidRDefault="00234EE9" w:rsidP="00234EE9">
      <w:pPr>
        <w:pStyle w:val="ListParagraph"/>
        <w:numPr>
          <w:ilvl w:val="0"/>
          <w:numId w:val="11"/>
        </w:numPr>
        <w:rPr>
          <w:b/>
        </w:rPr>
      </w:pPr>
      <w:r>
        <w:rPr>
          <w:b/>
        </w:rPr>
        <w:t>&gt; 6dB for -25dBm/MHz IM3 (outer case): &gt; 10dB for CP-OFDM, &gt; 8.5dB for DFT-s-OFDM</w:t>
      </w:r>
    </w:p>
    <w:p w14:paraId="3BC8DBA8" w14:textId="77777777" w:rsidR="00234EE9" w:rsidRPr="00234EE9" w:rsidRDefault="00234EE9" w:rsidP="00234EE9">
      <w:pPr>
        <w:pStyle w:val="ListParagraph"/>
        <w:numPr>
          <w:ilvl w:val="0"/>
          <w:numId w:val="11"/>
        </w:numPr>
        <w:rPr>
          <w:b/>
        </w:rPr>
      </w:pPr>
      <w:r>
        <w:rPr>
          <w:b/>
        </w:rPr>
        <w:t>&gt; 6dB for -25dBm/MHz IM5 (inner case): &gt; 5.5dB for CP-OFDM, &gt; 5dB for DFT-s-OFDM</w:t>
      </w:r>
    </w:p>
    <w:p w14:paraId="239F7F8B" w14:textId="77777777" w:rsidR="00234EE9" w:rsidRPr="003C7320" w:rsidRDefault="00234EE9" w:rsidP="00234EE9">
      <w:pPr>
        <w:tabs>
          <w:tab w:val="left" w:pos="5103"/>
        </w:tabs>
        <w:spacing w:after="0"/>
        <w:jc w:val="both"/>
        <w:rPr>
          <w:b/>
        </w:rPr>
      </w:pPr>
      <w:r w:rsidRPr="0029481B">
        <w:rPr>
          <w:b/>
        </w:rPr>
        <w:t xml:space="preserve">The worst back-off data for OOB NS04 based on current </w:t>
      </w:r>
      <w:r>
        <w:rPr>
          <w:b/>
        </w:rPr>
        <w:t>evaluation</w:t>
      </w:r>
      <w:r w:rsidRPr="003C7320">
        <w:rPr>
          <w:b/>
        </w:rPr>
        <w:t>:</w:t>
      </w:r>
    </w:p>
    <w:p w14:paraId="38ECC439" w14:textId="77777777" w:rsidR="00234EE9" w:rsidRDefault="00234EE9" w:rsidP="00234EE9">
      <w:pPr>
        <w:pStyle w:val="ListParagraph"/>
        <w:numPr>
          <w:ilvl w:val="0"/>
          <w:numId w:val="11"/>
        </w:numPr>
        <w:rPr>
          <w:b/>
        </w:rPr>
      </w:pPr>
      <w:r>
        <w:rPr>
          <w:b/>
        </w:rPr>
        <w:lastRenderedPageBreak/>
        <w:t>For -40dBm/MHz IM3 (outer case)</w:t>
      </w:r>
      <w:r w:rsidRPr="00234EE9">
        <w:rPr>
          <w:b/>
        </w:rPr>
        <w:t xml:space="preserve"> </w:t>
      </w:r>
      <w:r>
        <w:rPr>
          <w:b/>
        </w:rPr>
        <w:t>: -30dBm/MHz at 11dB back-off for CP-OFDM, -32dBm/MHz at 11dB back-off for DFT-s-OFDM</w:t>
      </w:r>
    </w:p>
    <w:p w14:paraId="6E30988B" w14:textId="77777777" w:rsidR="00234EE9" w:rsidRDefault="00234EE9" w:rsidP="00234EE9">
      <w:pPr>
        <w:pStyle w:val="ListParagraph"/>
        <w:numPr>
          <w:ilvl w:val="0"/>
          <w:numId w:val="11"/>
        </w:numPr>
        <w:rPr>
          <w:b/>
        </w:rPr>
      </w:pPr>
      <w:r>
        <w:rPr>
          <w:b/>
        </w:rPr>
        <w:t>For -40dBm/MHz IM5: &gt; 10dB for CP-OFDM, &gt; 8.5dB for DFT-s-OFDM</w:t>
      </w:r>
    </w:p>
    <w:p w14:paraId="24530FE6" w14:textId="2E2654C8" w:rsidR="00504F5B" w:rsidRPr="00234EE9" w:rsidRDefault="00234EE9" w:rsidP="00504F5B">
      <w:pPr>
        <w:pStyle w:val="ListParagraph"/>
        <w:numPr>
          <w:ilvl w:val="0"/>
          <w:numId w:val="11"/>
        </w:numPr>
        <w:rPr>
          <w:b/>
        </w:rPr>
      </w:pPr>
      <w:r>
        <w:rPr>
          <w:b/>
        </w:rPr>
        <w:t>For -40dBm/MHz IM7: &gt; 8dB for CP-OFDM, &gt; 6dB for DFT-s-OFDM</w:t>
      </w:r>
    </w:p>
    <w:p w14:paraId="03D6921F" w14:textId="77777777" w:rsidR="00F10F97" w:rsidRDefault="007321E3" w:rsidP="00C8525F">
      <w:pPr>
        <w:pStyle w:val="Heading1"/>
        <w:numPr>
          <w:ilvl w:val="0"/>
          <w:numId w:val="0"/>
        </w:numPr>
        <w:jc w:val="both"/>
      </w:pPr>
      <w:r>
        <w:t>R</w:t>
      </w:r>
      <w:r w:rsidR="00F10F97">
        <w:t>eferences</w:t>
      </w:r>
    </w:p>
    <w:p w14:paraId="68091A44" w14:textId="73D7AE21" w:rsidR="00C523E3" w:rsidRPr="005B531A" w:rsidRDefault="00C523E3" w:rsidP="00C523E3">
      <w:pPr>
        <w:jc w:val="both"/>
        <w:rPr>
          <w:rFonts w:eastAsia="SimSun"/>
          <w:lang w:eastAsia="zh-CN"/>
        </w:rPr>
      </w:pPr>
      <w:r>
        <w:t>[1]</w:t>
      </w:r>
      <w:r w:rsidRPr="00ED2F28">
        <w:tab/>
      </w:r>
      <w:r w:rsidRPr="00C523E3">
        <w:rPr>
          <w:rFonts w:eastAsia="SimSun"/>
          <w:highlight w:val="yellow"/>
          <w:lang w:eastAsia="zh-CN"/>
        </w:rPr>
        <w:t xml:space="preserve">R4-190xxxx Proposals on intra-band NR UL CA requirements for FR1, Skyworks </w:t>
      </w:r>
      <w:r w:rsidRPr="006202F7">
        <w:rPr>
          <w:rFonts w:eastAsia="SimSun"/>
          <w:highlight w:val="yellow"/>
          <w:lang w:eastAsia="zh-CN"/>
        </w:rPr>
        <w:t>Solutions Inc., RAN4#92</w:t>
      </w:r>
    </w:p>
    <w:p w14:paraId="14073DF0" w14:textId="4EA9D938" w:rsidR="00C5184D" w:rsidRPr="005B531A" w:rsidRDefault="00C523E3" w:rsidP="00C523E3">
      <w:pPr>
        <w:jc w:val="both"/>
        <w:rPr>
          <w:rFonts w:eastAsia="SimSun"/>
          <w:lang w:eastAsia="zh-CN"/>
        </w:rPr>
      </w:pPr>
      <w:r>
        <w:t>[2]</w:t>
      </w:r>
      <w:r w:rsidRPr="00ED2F28">
        <w:tab/>
      </w:r>
      <w:r w:rsidRPr="006202F7">
        <w:rPr>
          <w:rFonts w:eastAsia="SimSun"/>
          <w:highlight w:val="yellow"/>
          <w:lang w:eastAsia="zh-CN"/>
        </w:rPr>
        <w:t>R4-190xxxx Discussion on 2UL allocation types and their impact on required back</w:t>
      </w:r>
      <w:r w:rsidR="000552D3">
        <w:rPr>
          <w:rFonts w:eastAsia="SimSun"/>
          <w:highlight w:val="yellow"/>
          <w:lang w:eastAsia="zh-CN"/>
        </w:rPr>
        <w:t>-</w:t>
      </w:r>
      <w:r w:rsidRPr="006202F7">
        <w:rPr>
          <w:rFonts w:eastAsia="SimSun"/>
          <w:highlight w:val="yellow"/>
          <w:lang w:eastAsia="zh-CN"/>
        </w:rPr>
        <w:t>off and MSD, Skyworks Solutions Inc., RAN4#92</w:t>
      </w:r>
    </w:p>
    <w:sectPr w:rsidR="00C5184D" w:rsidRPr="005B531A" w:rsidSect="00CC71EC">
      <w:footerReference w:type="default" r:id="rId15"/>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64191" w14:textId="77777777" w:rsidR="0043110D" w:rsidRDefault="0043110D">
      <w:r>
        <w:separator/>
      </w:r>
    </w:p>
  </w:endnote>
  <w:endnote w:type="continuationSeparator" w:id="0">
    <w:p w14:paraId="729BA1B5" w14:textId="77777777" w:rsidR="0043110D" w:rsidRDefault="0043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3F1D8A" w:rsidRDefault="003F1D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2AC5B" w14:textId="77777777" w:rsidR="0043110D" w:rsidRDefault="0043110D">
      <w:r>
        <w:separator/>
      </w:r>
    </w:p>
  </w:footnote>
  <w:footnote w:type="continuationSeparator" w:id="0">
    <w:p w14:paraId="5DB939CC" w14:textId="77777777" w:rsidR="0043110D" w:rsidRDefault="00431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3DD5"/>
    <w:multiLevelType w:val="hybridMultilevel"/>
    <w:tmpl w:val="85DA5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E81C53"/>
    <w:multiLevelType w:val="hybridMultilevel"/>
    <w:tmpl w:val="787469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BE7F52"/>
    <w:multiLevelType w:val="hybridMultilevel"/>
    <w:tmpl w:val="76B69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D447FF0"/>
    <w:multiLevelType w:val="hybridMultilevel"/>
    <w:tmpl w:val="CA50D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33273"/>
    <w:multiLevelType w:val="hybridMultilevel"/>
    <w:tmpl w:val="43B4C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1700A5"/>
    <w:multiLevelType w:val="hybridMultilevel"/>
    <w:tmpl w:val="CE088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97083D"/>
    <w:multiLevelType w:val="hybridMultilevel"/>
    <w:tmpl w:val="97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78B17CF"/>
    <w:multiLevelType w:val="hybridMultilevel"/>
    <w:tmpl w:val="0CC8C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0B7CA3"/>
    <w:multiLevelType w:val="hybridMultilevel"/>
    <w:tmpl w:val="9148E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CD4E50"/>
    <w:multiLevelType w:val="hybridMultilevel"/>
    <w:tmpl w:val="1B109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482046C"/>
    <w:multiLevelType w:val="hybridMultilevel"/>
    <w:tmpl w:val="B7BAD1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D95A12"/>
    <w:multiLevelType w:val="hybridMultilevel"/>
    <w:tmpl w:val="6BC27F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7C16A7"/>
    <w:multiLevelType w:val="hybridMultilevel"/>
    <w:tmpl w:val="7556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513AF8"/>
    <w:multiLevelType w:val="hybridMultilevel"/>
    <w:tmpl w:val="F9E0B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6324DF"/>
    <w:multiLevelType w:val="hybridMultilevel"/>
    <w:tmpl w:val="7DFCC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8300AA"/>
    <w:multiLevelType w:val="hybridMultilevel"/>
    <w:tmpl w:val="5428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244A3E"/>
    <w:multiLevelType w:val="hybridMultilevel"/>
    <w:tmpl w:val="6AB64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5C05EE"/>
    <w:multiLevelType w:val="hybridMultilevel"/>
    <w:tmpl w:val="71A898B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7B32C5"/>
    <w:multiLevelType w:val="hybridMultilevel"/>
    <w:tmpl w:val="C05E6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CC7D4F"/>
    <w:multiLevelType w:val="hybridMultilevel"/>
    <w:tmpl w:val="41F4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BE777D"/>
    <w:multiLevelType w:val="hybridMultilevel"/>
    <w:tmpl w:val="B5F896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180648"/>
    <w:multiLevelType w:val="hybridMultilevel"/>
    <w:tmpl w:val="40E05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4"/>
  </w:num>
  <w:num w:numId="4">
    <w:abstractNumId w:val="34"/>
  </w:num>
  <w:num w:numId="5">
    <w:abstractNumId w:val="10"/>
  </w:num>
  <w:num w:numId="6">
    <w:abstractNumId w:val="3"/>
  </w:num>
  <w:num w:numId="7">
    <w:abstractNumId w:val="16"/>
  </w:num>
  <w:num w:numId="8">
    <w:abstractNumId w:val="29"/>
  </w:num>
  <w:num w:numId="9">
    <w:abstractNumId w:val="19"/>
  </w:num>
  <w:num w:numId="10">
    <w:abstractNumId w:val="25"/>
  </w:num>
  <w:num w:numId="11">
    <w:abstractNumId w:val="2"/>
  </w:num>
  <w:num w:numId="12">
    <w:abstractNumId w:val="30"/>
  </w:num>
  <w:num w:numId="13">
    <w:abstractNumId w:val="24"/>
  </w:num>
  <w:num w:numId="14">
    <w:abstractNumId w:val="33"/>
  </w:num>
  <w:num w:numId="15">
    <w:abstractNumId w:val="6"/>
  </w:num>
  <w:num w:numId="16">
    <w:abstractNumId w:val="20"/>
  </w:num>
  <w:num w:numId="17">
    <w:abstractNumId w:val="0"/>
  </w:num>
  <w:num w:numId="18">
    <w:abstractNumId w:val="1"/>
  </w:num>
  <w:num w:numId="19">
    <w:abstractNumId w:val="23"/>
  </w:num>
  <w:num w:numId="20">
    <w:abstractNumId w:val="17"/>
  </w:num>
  <w:num w:numId="21">
    <w:abstractNumId w:val="15"/>
  </w:num>
  <w:num w:numId="22">
    <w:abstractNumId w:val="31"/>
  </w:num>
  <w:num w:numId="23">
    <w:abstractNumId w:val="9"/>
  </w:num>
  <w:num w:numId="24">
    <w:abstractNumId w:val="8"/>
  </w:num>
  <w:num w:numId="25">
    <w:abstractNumId w:val="11"/>
  </w:num>
  <w:num w:numId="26">
    <w:abstractNumId w:val="12"/>
  </w:num>
  <w:num w:numId="27">
    <w:abstractNumId w:val="7"/>
  </w:num>
  <w:num w:numId="28">
    <w:abstractNumId w:val="21"/>
  </w:num>
  <w:num w:numId="29">
    <w:abstractNumId w:val="22"/>
  </w:num>
  <w:num w:numId="30">
    <w:abstractNumId w:val="26"/>
  </w:num>
  <w:num w:numId="31">
    <w:abstractNumId w:val="35"/>
  </w:num>
  <w:num w:numId="32">
    <w:abstractNumId w:val="5"/>
  </w:num>
  <w:num w:numId="33">
    <w:abstractNumId w:val="27"/>
  </w:num>
  <w:num w:numId="34">
    <w:abstractNumId w:val="28"/>
  </w:num>
  <w:num w:numId="35">
    <w:abstractNumId w:val="32"/>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2D3"/>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8A7"/>
    <w:rsid w:val="00077DCD"/>
    <w:rsid w:val="00077F33"/>
    <w:rsid w:val="00080C3A"/>
    <w:rsid w:val="00080E45"/>
    <w:rsid w:val="00081D13"/>
    <w:rsid w:val="00082230"/>
    <w:rsid w:val="0008285B"/>
    <w:rsid w:val="000834E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10D"/>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384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05C0"/>
    <w:rsid w:val="00B310D0"/>
    <w:rsid w:val="00B3168F"/>
    <w:rsid w:val="00B31897"/>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EB1"/>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0AC"/>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1BB"/>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2F22"/>
    <w:rsid w:val="00EE3A90"/>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3B1"/>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14" Type="http://schemas.openxmlformats.org/officeDocument/2006/relationships/image" Target="media/image5.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17520-7F07-47E0-B347-800C8FA3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9</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12218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2019-08-16T08:32:00Z</dcterms:created>
  <dcterms:modified xsi:type="dcterms:W3CDTF">2019-08-16T08:32:00Z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